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3"/>
        <w:gridCol w:w="7316"/>
      </w:tblGrid>
      <w:tr w:rsidR="00790553" w:rsidRPr="00F441C9" w14:paraId="22027120" w14:textId="77777777" w:rsidTr="005E4F1B">
        <w:trPr>
          <w:trHeight w:val="333"/>
          <w:jc w:val="center"/>
        </w:trPr>
        <w:tc>
          <w:tcPr>
            <w:tcW w:w="9729" w:type="dxa"/>
            <w:gridSpan w:val="2"/>
            <w:tcBorders>
              <w:top w:val="nil"/>
              <w:left w:val="nil"/>
              <w:bottom w:val="nil"/>
              <w:right w:val="nil"/>
            </w:tcBorders>
            <w:vAlign w:val="center"/>
          </w:tcPr>
          <w:p w14:paraId="2A308246" w14:textId="1896638D" w:rsidR="00790553" w:rsidRPr="00F441C9" w:rsidRDefault="00B369F4" w:rsidP="005E4F1B">
            <w:pPr>
              <w:pStyle w:val="1"/>
              <w:spacing w:before="0" w:beforeAutospacing="0" w:after="0" w:afterAutospacing="0" w:line="240" w:lineRule="atLeast"/>
              <w:jc w:val="center"/>
              <w:rPr>
                <w:rFonts w:ascii="Times New Roman" w:eastAsia="標楷體" w:hAnsi="Times New Roman" w:cs="Times New Roman"/>
                <w:sz w:val="36"/>
                <w:szCs w:val="36"/>
              </w:rPr>
            </w:pPr>
            <w:r w:rsidRPr="00F441C9">
              <w:rPr>
                <w:rFonts w:ascii="Times New Roman" w:eastAsia="標楷體" w:hAnsi="Times New Roman" w:cs="Times New Roman"/>
                <w:sz w:val="36"/>
                <w:szCs w:val="36"/>
              </w:rPr>
              <w:t>含</w:t>
            </w:r>
            <w:proofErr w:type="spellStart"/>
            <w:r w:rsidR="00B33776" w:rsidRPr="00F441C9">
              <w:rPr>
                <w:rFonts w:ascii="Times New Roman" w:eastAsia="標楷體" w:hAnsi="Times New Roman" w:cs="Times New Roman"/>
                <w:sz w:val="36"/>
                <w:szCs w:val="36"/>
              </w:rPr>
              <w:t>inavolisib</w:t>
            </w:r>
            <w:proofErr w:type="spellEnd"/>
            <w:r w:rsidRPr="00F441C9">
              <w:rPr>
                <w:rFonts w:ascii="Times New Roman" w:eastAsia="標楷體" w:hAnsi="Times New Roman" w:cs="Times New Roman"/>
                <w:sz w:val="36"/>
                <w:szCs w:val="36"/>
              </w:rPr>
              <w:t>成分藥品</w:t>
            </w:r>
            <w:r w:rsidR="00790553" w:rsidRPr="00F441C9">
              <w:rPr>
                <w:rFonts w:ascii="Times New Roman" w:eastAsia="標楷體" w:hAnsi="Times New Roman" w:cs="Times New Roman"/>
                <w:sz w:val="36"/>
                <w:szCs w:val="36"/>
              </w:rPr>
              <w:t>安全資訊風險溝通表</w:t>
            </w:r>
          </w:p>
        </w:tc>
      </w:tr>
      <w:tr w:rsidR="00790553" w:rsidRPr="00F441C9" w14:paraId="5E9419F4" w14:textId="77777777" w:rsidTr="005E4F1B">
        <w:trPr>
          <w:trHeight w:val="333"/>
          <w:jc w:val="center"/>
        </w:trPr>
        <w:tc>
          <w:tcPr>
            <w:tcW w:w="9729" w:type="dxa"/>
            <w:gridSpan w:val="2"/>
            <w:tcBorders>
              <w:top w:val="nil"/>
              <w:left w:val="nil"/>
              <w:right w:val="nil"/>
            </w:tcBorders>
            <w:vAlign w:val="center"/>
          </w:tcPr>
          <w:p w14:paraId="52BAAD38" w14:textId="44E4B242" w:rsidR="00790553" w:rsidRPr="00F441C9" w:rsidRDefault="00790553" w:rsidP="005E4F1B">
            <w:pPr>
              <w:pStyle w:val="1"/>
              <w:spacing w:before="0" w:beforeAutospacing="0" w:after="0" w:afterAutospacing="0" w:line="240" w:lineRule="atLeast"/>
              <w:jc w:val="right"/>
              <w:rPr>
                <w:rFonts w:ascii="Times New Roman" w:eastAsia="標楷體" w:hAnsi="Times New Roman" w:cs="Times New Roman"/>
                <w:b w:val="0"/>
                <w:sz w:val="24"/>
                <w:szCs w:val="24"/>
              </w:rPr>
            </w:pPr>
            <w:r w:rsidRPr="00F441C9">
              <w:rPr>
                <w:rFonts w:ascii="Times New Roman" w:eastAsia="標楷體" w:hAnsi="Times New Roman" w:cs="Times New Roman"/>
                <w:sz w:val="24"/>
                <w:szCs w:val="24"/>
              </w:rPr>
              <w:t xml:space="preserve">  </w:t>
            </w:r>
            <w:r w:rsidRPr="00F441C9">
              <w:rPr>
                <w:rFonts w:ascii="Times New Roman" w:eastAsia="標楷體" w:hAnsi="Times New Roman" w:cs="Times New Roman"/>
                <w:b w:val="0"/>
                <w:sz w:val="24"/>
                <w:szCs w:val="24"/>
              </w:rPr>
              <w:t>製表日期：</w:t>
            </w:r>
            <w:r w:rsidRPr="00F441C9">
              <w:rPr>
                <w:rFonts w:ascii="Times New Roman" w:eastAsia="標楷體" w:hAnsi="Times New Roman" w:cs="Times New Roman"/>
                <w:b w:val="0"/>
                <w:sz w:val="24"/>
                <w:szCs w:val="24"/>
              </w:rPr>
              <w:t>11</w:t>
            </w:r>
            <w:r w:rsidR="00B33776" w:rsidRPr="00F441C9">
              <w:rPr>
                <w:rFonts w:ascii="Times New Roman" w:eastAsia="標楷體" w:hAnsi="Times New Roman" w:cs="Times New Roman"/>
                <w:b w:val="0"/>
                <w:sz w:val="24"/>
                <w:szCs w:val="24"/>
              </w:rPr>
              <w:t>4</w:t>
            </w:r>
            <w:r w:rsidRPr="00F441C9">
              <w:rPr>
                <w:rFonts w:ascii="Times New Roman" w:eastAsia="標楷體" w:hAnsi="Times New Roman" w:cs="Times New Roman"/>
                <w:b w:val="0"/>
                <w:sz w:val="24"/>
                <w:szCs w:val="24"/>
              </w:rPr>
              <w:t>/</w:t>
            </w:r>
            <w:r w:rsidR="00B33776" w:rsidRPr="00F441C9">
              <w:rPr>
                <w:rFonts w:ascii="Times New Roman" w:eastAsia="標楷體" w:hAnsi="Times New Roman" w:cs="Times New Roman"/>
                <w:b w:val="0"/>
                <w:sz w:val="24"/>
                <w:szCs w:val="24"/>
              </w:rPr>
              <w:t>1</w:t>
            </w:r>
            <w:r w:rsidR="00BA13E0">
              <w:rPr>
                <w:rFonts w:ascii="Times New Roman" w:eastAsia="標楷體" w:hAnsi="Times New Roman" w:cs="Times New Roman" w:hint="eastAsia"/>
                <w:b w:val="0"/>
                <w:sz w:val="24"/>
                <w:szCs w:val="24"/>
              </w:rPr>
              <w:t>1</w:t>
            </w:r>
          </w:p>
        </w:tc>
      </w:tr>
      <w:tr w:rsidR="00790553" w:rsidRPr="00F441C9" w14:paraId="334DBD51" w14:textId="77777777" w:rsidTr="005E4F1B">
        <w:trPr>
          <w:trHeight w:val="333"/>
          <w:jc w:val="center"/>
        </w:trPr>
        <w:tc>
          <w:tcPr>
            <w:tcW w:w="2413" w:type="dxa"/>
            <w:vAlign w:val="center"/>
          </w:tcPr>
          <w:p w14:paraId="47340577" w14:textId="77777777" w:rsidR="00790553" w:rsidRPr="00F441C9" w:rsidRDefault="00790553" w:rsidP="005E4F1B">
            <w:pPr>
              <w:jc w:val="center"/>
              <w:rPr>
                <w:rFonts w:ascii="Times New Roman" w:eastAsia="標楷體" w:hAnsi="Times New Roman"/>
              </w:rPr>
            </w:pPr>
            <w:r w:rsidRPr="00F441C9">
              <w:rPr>
                <w:rFonts w:ascii="Times New Roman" w:eastAsia="標楷體" w:hAnsi="Times New Roman"/>
              </w:rPr>
              <w:t>藥品名稱</w:t>
            </w:r>
          </w:p>
          <w:p w14:paraId="31C26ED6" w14:textId="77777777" w:rsidR="00790553" w:rsidRPr="00F441C9" w:rsidRDefault="00790553" w:rsidP="005E4F1B">
            <w:pPr>
              <w:jc w:val="center"/>
              <w:rPr>
                <w:rFonts w:ascii="Times New Roman" w:eastAsia="標楷體" w:hAnsi="Times New Roman"/>
              </w:rPr>
            </w:pPr>
            <w:r w:rsidRPr="00F441C9">
              <w:rPr>
                <w:rFonts w:ascii="Times New Roman" w:eastAsia="標楷體" w:hAnsi="Times New Roman"/>
              </w:rPr>
              <w:t>及許可證字號</w:t>
            </w:r>
          </w:p>
        </w:tc>
        <w:tc>
          <w:tcPr>
            <w:tcW w:w="7316" w:type="dxa"/>
          </w:tcPr>
          <w:p w14:paraId="0B22E1F6" w14:textId="2469E35C" w:rsidR="00790553" w:rsidRPr="00F441C9" w:rsidRDefault="00790553" w:rsidP="005E4F1B">
            <w:pPr>
              <w:widowControl/>
              <w:shd w:val="clear" w:color="auto" w:fill="FFFFFF"/>
              <w:rPr>
                <w:rFonts w:ascii="Times New Roman" w:eastAsia="標楷體" w:hAnsi="Times New Roman"/>
                <w:kern w:val="0"/>
                <w:szCs w:val="24"/>
              </w:rPr>
            </w:pPr>
            <w:r w:rsidRPr="00F441C9">
              <w:rPr>
                <w:rFonts w:ascii="Times New Roman" w:eastAsia="標楷體" w:hAnsi="Times New Roman"/>
                <w:color w:val="000000" w:themeColor="text1"/>
                <w:szCs w:val="24"/>
              </w:rPr>
              <w:t>衛</w:t>
            </w:r>
            <w:r w:rsidRPr="00F441C9">
              <w:rPr>
                <w:rFonts w:ascii="Times New Roman" w:eastAsia="標楷體" w:hAnsi="Times New Roman"/>
                <w:kern w:val="0"/>
                <w:szCs w:val="24"/>
              </w:rPr>
              <w:t>生福利部核准含</w:t>
            </w:r>
            <w:proofErr w:type="spellStart"/>
            <w:r w:rsidR="00B33776" w:rsidRPr="00F441C9">
              <w:rPr>
                <w:rFonts w:ascii="Times New Roman" w:eastAsia="標楷體" w:hAnsi="Times New Roman"/>
                <w:kern w:val="0"/>
                <w:szCs w:val="24"/>
              </w:rPr>
              <w:t>inavolisib</w:t>
            </w:r>
            <w:proofErr w:type="spellEnd"/>
            <w:r w:rsidRPr="00F441C9">
              <w:rPr>
                <w:rFonts w:ascii="Times New Roman" w:eastAsia="標楷體" w:hAnsi="Times New Roman"/>
                <w:kern w:val="0"/>
                <w:szCs w:val="24"/>
              </w:rPr>
              <w:t>成分藥品許可證共</w:t>
            </w:r>
            <w:r w:rsidR="00E50FD2" w:rsidRPr="00F441C9">
              <w:rPr>
                <w:rFonts w:ascii="Times New Roman" w:eastAsia="標楷體" w:hAnsi="Times New Roman"/>
                <w:kern w:val="0"/>
                <w:szCs w:val="24"/>
              </w:rPr>
              <w:t>2</w:t>
            </w:r>
            <w:r w:rsidRPr="00F441C9">
              <w:rPr>
                <w:rFonts w:ascii="Times New Roman" w:eastAsia="標楷體" w:hAnsi="Times New Roman"/>
                <w:kern w:val="0"/>
                <w:szCs w:val="24"/>
              </w:rPr>
              <w:t>張。</w:t>
            </w:r>
          </w:p>
          <w:p w14:paraId="54434227" w14:textId="66F82A8A" w:rsidR="00F4421C" w:rsidRPr="00F4421C" w:rsidRDefault="00790553" w:rsidP="005E4F1B">
            <w:pPr>
              <w:widowControl/>
              <w:shd w:val="clear" w:color="auto" w:fill="FFFFFF"/>
              <w:rPr>
                <w:rFonts w:ascii="Times New Roman" w:eastAsia="標楷體" w:hAnsi="Times New Roman"/>
                <w:bCs/>
                <w:kern w:val="36"/>
                <w:szCs w:val="24"/>
                <w:lang w:bidi="hi-IN"/>
              </w:rPr>
            </w:pPr>
            <w:r w:rsidRPr="00F441C9">
              <w:rPr>
                <w:rFonts w:ascii="Times New Roman" w:eastAsia="標楷體" w:hAnsi="Times New Roman"/>
                <w:kern w:val="0"/>
                <w:szCs w:val="24"/>
              </w:rPr>
              <w:t>查詢網址：</w:t>
            </w:r>
            <w:hyperlink r:id="rId8" w:history="1">
              <w:r w:rsidR="00F4421C" w:rsidRPr="00F4562D">
                <w:rPr>
                  <w:rStyle w:val="a4"/>
                  <w:rFonts w:ascii="Times New Roman" w:eastAsia="標楷體" w:hAnsi="Times New Roman"/>
                  <w:bCs/>
                  <w:kern w:val="36"/>
                  <w:szCs w:val="24"/>
                  <w:lang w:bidi="hi-IN"/>
                </w:rPr>
                <w:t>http://mcp.fda.gov.tw/</w:t>
              </w:r>
            </w:hyperlink>
          </w:p>
        </w:tc>
      </w:tr>
      <w:tr w:rsidR="00790553" w:rsidRPr="00F441C9" w14:paraId="5C95867A" w14:textId="77777777" w:rsidTr="005E4F1B">
        <w:trPr>
          <w:trHeight w:val="333"/>
          <w:jc w:val="center"/>
        </w:trPr>
        <w:tc>
          <w:tcPr>
            <w:tcW w:w="2413" w:type="dxa"/>
            <w:vAlign w:val="center"/>
          </w:tcPr>
          <w:p w14:paraId="48649C86" w14:textId="77777777" w:rsidR="00790553" w:rsidRPr="00F441C9" w:rsidRDefault="00790553" w:rsidP="005E4F1B">
            <w:pPr>
              <w:jc w:val="center"/>
              <w:rPr>
                <w:rFonts w:ascii="Times New Roman" w:eastAsia="標楷體" w:hAnsi="Times New Roman"/>
              </w:rPr>
            </w:pPr>
            <w:r w:rsidRPr="00F441C9">
              <w:rPr>
                <w:rFonts w:ascii="Times New Roman" w:eastAsia="標楷體" w:hAnsi="Times New Roman"/>
                <w:color w:val="000000"/>
              </w:rPr>
              <w:t>適應症</w:t>
            </w:r>
          </w:p>
        </w:tc>
        <w:tc>
          <w:tcPr>
            <w:tcW w:w="7316" w:type="dxa"/>
          </w:tcPr>
          <w:p w14:paraId="56D5A130" w14:textId="44183CAE" w:rsidR="00913A45" w:rsidRPr="00F441C9" w:rsidRDefault="00301BCC" w:rsidP="00B33776">
            <w:pPr>
              <w:tabs>
                <w:tab w:val="left" w:pos="1010"/>
              </w:tabs>
              <w:jc w:val="both"/>
              <w:rPr>
                <w:rFonts w:ascii="Times New Roman" w:eastAsia="標楷體" w:hAnsi="Times New Roman"/>
                <w:color w:val="000000" w:themeColor="text1"/>
                <w:szCs w:val="24"/>
              </w:rPr>
            </w:pPr>
            <w:r w:rsidRPr="00F441C9">
              <w:rPr>
                <w:rFonts w:ascii="Times New Roman" w:eastAsia="標楷體" w:hAnsi="Times New Roman"/>
                <w:color w:val="000000" w:themeColor="text1"/>
                <w:szCs w:val="24"/>
              </w:rPr>
              <w:t>與</w:t>
            </w:r>
            <w:r w:rsidRPr="00F441C9">
              <w:rPr>
                <w:rFonts w:ascii="Times New Roman" w:eastAsia="標楷體" w:hAnsi="Times New Roman"/>
                <w:color w:val="000000" w:themeColor="text1"/>
                <w:szCs w:val="24"/>
              </w:rPr>
              <w:t>palbociclib</w:t>
            </w:r>
            <w:r w:rsidRPr="00F441C9">
              <w:rPr>
                <w:rFonts w:ascii="Times New Roman" w:eastAsia="標楷體" w:hAnsi="Times New Roman"/>
                <w:color w:val="000000" w:themeColor="text1"/>
                <w:szCs w:val="24"/>
              </w:rPr>
              <w:t>和</w:t>
            </w:r>
            <w:proofErr w:type="spellStart"/>
            <w:r w:rsidRPr="00F441C9">
              <w:rPr>
                <w:rFonts w:ascii="Times New Roman" w:eastAsia="標楷體" w:hAnsi="Times New Roman"/>
                <w:color w:val="000000" w:themeColor="text1"/>
                <w:szCs w:val="24"/>
              </w:rPr>
              <w:t>fulvestrant</w:t>
            </w:r>
            <w:proofErr w:type="spellEnd"/>
            <w:proofErr w:type="gramStart"/>
            <w:r w:rsidRPr="00F441C9">
              <w:rPr>
                <w:rFonts w:ascii="Times New Roman" w:eastAsia="標楷體" w:hAnsi="Times New Roman"/>
                <w:color w:val="000000" w:themeColor="text1"/>
                <w:szCs w:val="24"/>
              </w:rPr>
              <w:t>併</w:t>
            </w:r>
            <w:proofErr w:type="gramEnd"/>
            <w:r w:rsidRPr="00F441C9">
              <w:rPr>
                <w:rFonts w:ascii="Times New Roman" w:eastAsia="標楷體" w:hAnsi="Times New Roman"/>
                <w:color w:val="000000" w:themeColor="text1"/>
                <w:szCs w:val="24"/>
              </w:rPr>
              <w:t>用，適用於治療患有</w:t>
            </w:r>
            <w:r w:rsidRPr="00F441C9">
              <w:rPr>
                <w:rFonts w:ascii="Times New Roman" w:eastAsia="標楷體" w:hAnsi="Times New Roman"/>
                <w:color w:val="000000" w:themeColor="text1"/>
                <w:szCs w:val="24"/>
              </w:rPr>
              <w:t xml:space="preserve">PIK3CA </w:t>
            </w:r>
            <w:r w:rsidRPr="00F441C9">
              <w:rPr>
                <w:rFonts w:ascii="Times New Roman" w:eastAsia="標楷體" w:hAnsi="Times New Roman"/>
                <w:color w:val="000000" w:themeColor="text1"/>
                <w:szCs w:val="24"/>
              </w:rPr>
              <w:t>突變、荷爾蒙受體</w:t>
            </w:r>
            <w:r w:rsidRPr="00F441C9">
              <w:rPr>
                <w:rFonts w:ascii="Times New Roman" w:eastAsia="標楷體" w:hAnsi="Times New Roman"/>
                <w:color w:val="000000" w:themeColor="text1"/>
                <w:szCs w:val="24"/>
              </w:rPr>
              <w:t xml:space="preserve"> (HR) </w:t>
            </w:r>
            <w:r w:rsidRPr="00F441C9">
              <w:rPr>
                <w:rFonts w:ascii="Times New Roman" w:eastAsia="標楷體" w:hAnsi="Times New Roman"/>
                <w:color w:val="000000" w:themeColor="text1"/>
                <w:szCs w:val="24"/>
              </w:rPr>
              <w:t>陽性、第二型人類表皮生長因子受體</w:t>
            </w:r>
            <w:r w:rsidRPr="00F441C9">
              <w:rPr>
                <w:rFonts w:ascii="Times New Roman" w:eastAsia="標楷體" w:hAnsi="Times New Roman"/>
                <w:color w:val="000000" w:themeColor="text1"/>
                <w:szCs w:val="24"/>
              </w:rPr>
              <w:t xml:space="preserve"> (HER2)</w:t>
            </w:r>
            <w:r w:rsidRPr="00F441C9">
              <w:rPr>
                <w:rFonts w:ascii="Times New Roman" w:eastAsia="標楷體" w:hAnsi="Times New Roman"/>
                <w:color w:val="000000" w:themeColor="text1"/>
                <w:szCs w:val="24"/>
              </w:rPr>
              <w:t>陰性，對內分泌治療具抗藥性</w:t>
            </w:r>
            <w:r w:rsidR="00354A21">
              <w:rPr>
                <w:rFonts w:ascii="Times New Roman" w:eastAsia="標楷體" w:hAnsi="Times New Roman" w:hint="eastAsia"/>
                <w:color w:val="000000" w:themeColor="text1"/>
                <w:szCs w:val="24"/>
              </w:rPr>
              <w:t xml:space="preserve"> </w:t>
            </w:r>
            <w:r w:rsidRPr="00F441C9">
              <w:rPr>
                <w:rFonts w:ascii="Times New Roman" w:eastAsia="標楷體" w:hAnsi="Times New Roman"/>
                <w:color w:val="000000" w:themeColor="text1"/>
                <w:szCs w:val="24"/>
              </w:rPr>
              <w:t>(endocrine resistance)</w:t>
            </w:r>
            <w:r w:rsidRPr="00F441C9">
              <w:rPr>
                <w:rFonts w:ascii="Times New Roman" w:eastAsia="標楷體" w:hAnsi="Times New Roman"/>
                <w:color w:val="000000" w:themeColor="text1"/>
                <w:szCs w:val="24"/>
              </w:rPr>
              <w:t>，於輔助治療期間或輔助治療後疾病復發的局部晚期或轉移性乳癌成人病人。</w:t>
            </w:r>
          </w:p>
        </w:tc>
      </w:tr>
      <w:tr w:rsidR="00790553" w:rsidRPr="00F441C9" w14:paraId="158BD0AE" w14:textId="77777777" w:rsidTr="005E4F1B">
        <w:trPr>
          <w:jc w:val="center"/>
        </w:trPr>
        <w:tc>
          <w:tcPr>
            <w:tcW w:w="2413" w:type="dxa"/>
            <w:vAlign w:val="center"/>
          </w:tcPr>
          <w:p w14:paraId="6F54E091" w14:textId="77777777" w:rsidR="00790553" w:rsidRPr="00F441C9" w:rsidRDefault="00790553" w:rsidP="005E4F1B">
            <w:pPr>
              <w:jc w:val="center"/>
              <w:rPr>
                <w:rFonts w:ascii="Times New Roman" w:eastAsia="標楷體" w:hAnsi="Times New Roman"/>
              </w:rPr>
            </w:pPr>
            <w:r w:rsidRPr="00F441C9">
              <w:rPr>
                <w:rFonts w:ascii="Times New Roman" w:eastAsia="標楷體" w:hAnsi="Times New Roman"/>
              </w:rPr>
              <w:t>藥理作用機轉</w:t>
            </w:r>
          </w:p>
        </w:tc>
        <w:tc>
          <w:tcPr>
            <w:tcW w:w="7316" w:type="dxa"/>
          </w:tcPr>
          <w:p w14:paraId="44503E1A" w14:textId="6C97D500" w:rsidR="00832A68" w:rsidRPr="00436512" w:rsidRDefault="00366FFA" w:rsidP="00436512">
            <w:pPr>
              <w:pStyle w:val="a3"/>
              <w:numPr>
                <w:ilvl w:val="0"/>
                <w:numId w:val="9"/>
              </w:numPr>
              <w:tabs>
                <w:tab w:val="left" w:pos="1010"/>
              </w:tabs>
              <w:ind w:leftChars="0" w:left="277" w:hanging="277"/>
              <w:jc w:val="both"/>
              <w:rPr>
                <w:rFonts w:ascii="Times New Roman" w:eastAsia="標楷體" w:hAnsi="Times New Roman"/>
                <w:szCs w:val="24"/>
              </w:rPr>
            </w:pPr>
            <w:proofErr w:type="spellStart"/>
            <w:r w:rsidRPr="00436512">
              <w:rPr>
                <w:rFonts w:ascii="Times New Roman" w:eastAsia="標楷體" w:hAnsi="Times New Roman"/>
                <w:szCs w:val="24"/>
              </w:rPr>
              <w:t>i</w:t>
            </w:r>
            <w:r w:rsidR="003E7C81" w:rsidRPr="00436512">
              <w:rPr>
                <w:rFonts w:ascii="Times New Roman" w:eastAsia="標楷體" w:hAnsi="Times New Roman"/>
                <w:szCs w:val="24"/>
              </w:rPr>
              <w:t>navolisib</w:t>
            </w:r>
            <w:proofErr w:type="spellEnd"/>
            <w:r w:rsidR="003E7C81" w:rsidRPr="00436512">
              <w:rPr>
                <w:rFonts w:ascii="Times New Roman" w:eastAsia="標楷體" w:hAnsi="Times New Roman" w:hint="eastAsia"/>
                <w:szCs w:val="24"/>
              </w:rPr>
              <w:t>為</w:t>
            </w:r>
            <w:r w:rsidR="003E7C81" w:rsidRPr="00436512">
              <w:rPr>
                <w:rFonts w:ascii="Times New Roman" w:eastAsia="標楷體" w:hAnsi="Times New Roman"/>
                <w:szCs w:val="24"/>
              </w:rPr>
              <w:t>phosphatidylinositol-4,5-bisphosphate 3-kinase</w:t>
            </w:r>
            <w:r w:rsidR="007A21A0">
              <w:rPr>
                <w:rFonts w:ascii="Times New Roman" w:eastAsia="標楷體" w:hAnsi="Times New Roman" w:hint="eastAsia"/>
                <w:szCs w:val="24"/>
              </w:rPr>
              <w:t xml:space="preserve"> </w:t>
            </w:r>
            <w:r w:rsidR="003E7C81" w:rsidRPr="00436512">
              <w:rPr>
                <w:rFonts w:ascii="Times New Roman" w:eastAsia="標楷體" w:hAnsi="Times New Roman"/>
                <w:szCs w:val="24"/>
              </w:rPr>
              <w:t>(PI3K)</w:t>
            </w:r>
            <w:proofErr w:type="gramStart"/>
            <w:r w:rsidR="003E7C81" w:rsidRPr="00436512">
              <w:rPr>
                <w:rFonts w:ascii="Times New Roman" w:eastAsia="標楷體" w:hAnsi="Times New Roman" w:hint="eastAsia"/>
                <w:szCs w:val="24"/>
              </w:rPr>
              <w:t>催化性次單元</w:t>
            </w:r>
            <w:proofErr w:type="gramEnd"/>
            <w:r w:rsidR="003E7C81" w:rsidRPr="00436512">
              <w:rPr>
                <w:rFonts w:ascii="Times New Roman" w:eastAsia="標楷體" w:hAnsi="Times New Roman" w:hint="eastAsia"/>
                <w:szCs w:val="24"/>
              </w:rPr>
              <w:t>α亞型蛋白</w:t>
            </w:r>
            <w:r w:rsidR="003E7C81" w:rsidRPr="00436512">
              <w:rPr>
                <w:rFonts w:ascii="Times New Roman" w:eastAsia="標楷體" w:hAnsi="Times New Roman"/>
                <w:szCs w:val="24"/>
              </w:rPr>
              <w:t xml:space="preserve"> (p110α</w:t>
            </w:r>
            <w:r w:rsidR="003E7C81" w:rsidRPr="00436512">
              <w:rPr>
                <w:rFonts w:ascii="Times New Roman" w:eastAsia="標楷體" w:hAnsi="Times New Roman" w:hint="eastAsia"/>
                <w:szCs w:val="24"/>
              </w:rPr>
              <w:t>；由</w:t>
            </w:r>
            <w:r w:rsidR="003E7C81" w:rsidRPr="00436512">
              <w:rPr>
                <w:rFonts w:ascii="Times New Roman" w:eastAsia="標楷體" w:hAnsi="Times New Roman"/>
                <w:szCs w:val="24"/>
              </w:rPr>
              <w:t>PIK3CA</w:t>
            </w:r>
            <w:r w:rsidR="003E7C81" w:rsidRPr="00436512">
              <w:rPr>
                <w:rFonts w:ascii="Times New Roman" w:eastAsia="標楷體" w:hAnsi="Times New Roman" w:hint="eastAsia"/>
                <w:szCs w:val="24"/>
              </w:rPr>
              <w:t>基因編碼</w:t>
            </w:r>
            <w:r w:rsidR="003E7C81" w:rsidRPr="00436512">
              <w:rPr>
                <w:rFonts w:ascii="Times New Roman" w:eastAsia="標楷體" w:hAnsi="Times New Roman"/>
                <w:szCs w:val="24"/>
              </w:rPr>
              <w:t>)</w:t>
            </w:r>
            <w:r w:rsidR="003E7C81" w:rsidRPr="00436512">
              <w:rPr>
                <w:rFonts w:ascii="Times New Roman" w:eastAsia="標楷體" w:hAnsi="Times New Roman" w:hint="eastAsia"/>
                <w:szCs w:val="24"/>
              </w:rPr>
              <w:t>的高</w:t>
            </w:r>
            <w:r w:rsidR="003E7C81" w:rsidRPr="00436512">
              <w:rPr>
                <w:rFonts w:ascii="標楷體" w:eastAsia="標楷體" w:hAnsi="標楷體" w:cs="標楷體" w:hint="eastAsia"/>
                <w:szCs w:val="24"/>
              </w:rPr>
              <w:t>效且高選擇性抑制劑</w:t>
            </w:r>
            <w:r w:rsidR="003F4104" w:rsidRPr="00436512">
              <w:rPr>
                <w:rFonts w:ascii="標楷體" w:eastAsia="標楷體" w:hAnsi="標楷體" w:cs="標楷體" w:hint="eastAsia"/>
                <w:szCs w:val="24"/>
              </w:rPr>
              <w:t>，</w:t>
            </w:r>
            <w:proofErr w:type="spellStart"/>
            <w:r w:rsidR="00A0694E" w:rsidRPr="00436512">
              <w:rPr>
                <w:rFonts w:ascii="Times New Roman" w:eastAsia="標楷體" w:hAnsi="Times New Roman"/>
                <w:szCs w:val="24"/>
              </w:rPr>
              <w:t>inavolisib</w:t>
            </w:r>
            <w:proofErr w:type="spellEnd"/>
            <w:r w:rsidR="003F4104" w:rsidRPr="00436512">
              <w:rPr>
                <w:rFonts w:ascii="Times New Roman" w:eastAsia="標楷體" w:hAnsi="Times New Roman" w:hint="eastAsia"/>
                <w:szCs w:val="24"/>
              </w:rPr>
              <w:t>亦能</w:t>
            </w:r>
            <w:r w:rsidR="003E7C81" w:rsidRPr="00436512">
              <w:rPr>
                <w:rFonts w:ascii="Times New Roman" w:eastAsia="標楷體" w:hAnsi="Times New Roman" w:hint="eastAsia"/>
                <w:szCs w:val="24"/>
              </w:rPr>
              <w:t>促進突變的</w:t>
            </w:r>
            <w:r w:rsidR="003E7C81" w:rsidRPr="00436512">
              <w:rPr>
                <w:rFonts w:ascii="Times New Roman" w:eastAsia="標楷體" w:hAnsi="Times New Roman"/>
                <w:szCs w:val="24"/>
              </w:rPr>
              <w:t>p110α</w:t>
            </w:r>
            <w:proofErr w:type="gramStart"/>
            <w:r w:rsidR="003E7C81" w:rsidRPr="00436512">
              <w:rPr>
                <w:rFonts w:ascii="Times New Roman" w:eastAsia="標楷體" w:hAnsi="Times New Roman" w:hint="eastAsia"/>
                <w:szCs w:val="24"/>
              </w:rPr>
              <w:t>降解</w:t>
            </w:r>
            <w:proofErr w:type="gramEnd"/>
            <w:r w:rsidR="00832A68" w:rsidRPr="00436512">
              <w:rPr>
                <w:rFonts w:ascii="Times New Roman" w:eastAsia="標楷體" w:hAnsi="Times New Roman"/>
                <w:szCs w:val="24"/>
              </w:rPr>
              <w:t>。</w:t>
            </w:r>
          </w:p>
          <w:p w14:paraId="4EEDD832" w14:textId="71A13E6D" w:rsidR="003E7C81" w:rsidRPr="005F63B3" w:rsidRDefault="00832A68" w:rsidP="005F63B3">
            <w:pPr>
              <w:pStyle w:val="a3"/>
              <w:numPr>
                <w:ilvl w:val="0"/>
                <w:numId w:val="9"/>
              </w:numPr>
              <w:tabs>
                <w:tab w:val="left" w:pos="1010"/>
              </w:tabs>
              <w:ind w:leftChars="0" w:left="277" w:hanging="277"/>
              <w:jc w:val="both"/>
              <w:rPr>
                <w:rFonts w:ascii="Times New Roman" w:eastAsia="標楷體" w:hAnsi="Times New Roman"/>
                <w:szCs w:val="24"/>
              </w:rPr>
            </w:pPr>
            <w:r w:rsidRPr="005F63B3">
              <w:rPr>
                <w:rFonts w:ascii="Times New Roman" w:eastAsia="標楷體" w:hAnsi="Times New Roman"/>
                <w:szCs w:val="24"/>
              </w:rPr>
              <w:t>HR</w:t>
            </w:r>
            <w:r w:rsidRPr="005F63B3">
              <w:rPr>
                <w:rFonts w:ascii="Times New Roman" w:eastAsia="標楷體" w:hAnsi="Times New Roman"/>
                <w:szCs w:val="24"/>
              </w:rPr>
              <w:t>陽性</w:t>
            </w:r>
            <w:r w:rsidR="00BC1F8B">
              <w:rPr>
                <w:rFonts w:ascii="Times New Roman" w:eastAsia="標楷體" w:hAnsi="Times New Roman" w:hint="eastAsia"/>
                <w:szCs w:val="24"/>
              </w:rPr>
              <w:t>之</w:t>
            </w:r>
            <w:r w:rsidRPr="005F63B3">
              <w:rPr>
                <w:rFonts w:ascii="Times New Roman" w:eastAsia="標楷體" w:hAnsi="Times New Roman"/>
                <w:szCs w:val="24"/>
              </w:rPr>
              <w:t>乳癌</w:t>
            </w:r>
            <w:r w:rsidR="005F63B3">
              <w:rPr>
                <w:rFonts w:ascii="Times New Roman" w:eastAsia="標楷體" w:hAnsi="Times New Roman" w:hint="eastAsia"/>
                <w:szCs w:val="24"/>
              </w:rPr>
              <w:t>病人中</w:t>
            </w:r>
            <w:r w:rsidRPr="005F63B3">
              <w:rPr>
                <w:rFonts w:ascii="Times New Roman" w:eastAsia="標楷體" w:hAnsi="Times New Roman"/>
                <w:szCs w:val="24"/>
              </w:rPr>
              <w:t>PI3K</w:t>
            </w:r>
            <w:r w:rsidRPr="005F63B3">
              <w:rPr>
                <w:rFonts w:ascii="Times New Roman" w:eastAsia="標楷體" w:hAnsi="Times New Roman"/>
                <w:szCs w:val="24"/>
              </w:rPr>
              <w:t>信號傳導路徑</w:t>
            </w:r>
            <w:r w:rsidR="00A71585" w:rsidRPr="005F63B3">
              <w:rPr>
                <w:rFonts w:ascii="Times New Roman" w:eastAsia="標楷體" w:hAnsi="Times New Roman" w:hint="eastAsia"/>
                <w:szCs w:val="24"/>
              </w:rPr>
              <w:t>經</w:t>
            </w:r>
            <w:r w:rsidRPr="005F63B3">
              <w:rPr>
                <w:rFonts w:ascii="Times New Roman" w:eastAsia="標楷體" w:hAnsi="Times New Roman"/>
                <w:szCs w:val="24"/>
              </w:rPr>
              <w:t>常</w:t>
            </w:r>
            <w:r w:rsidR="00A71585" w:rsidRPr="005F63B3">
              <w:rPr>
                <w:rFonts w:ascii="Times New Roman" w:eastAsia="標楷體" w:hAnsi="Times New Roman" w:hint="eastAsia"/>
                <w:szCs w:val="24"/>
              </w:rPr>
              <w:t>失調</w:t>
            </w:r>
            <w:r w:rsidRPr="005F63B3">
              <w:rPr>
                <w:rFonts w:ascii="Times New Roman" w:eastAsia="標楷體" w:hAnsi="Times New Roman"/>
                <w:szCs w:val="24"/>
              </w:rPr>
              <w:t>，通常是</w:t>
            </w:r>
            <w:r w:rsidRPr="005F63B3">
              <w:rPr>
                <w:rFonts w:ascii="Times New Roman" w:eastAsia="標楷體" w:hAnsi="Times New Roman"/>
                <w:szCs w:val="24"/>
              </w:rPr>
              <w:t>PIK3CA</w:t>
            </w:r>
            <w:r w:rsidRPr="005F63B3">
              <w:rPr>
                <w:rFonts w:ascii="Times New Roman" w:eastAsia="標楷體" w:hAnsi="Times New Roman"/>
                <w:szCs w:val="24"/>
              </w:rPr>
              <w:t>基因突變</w:t>
            </w:r>
            <w:r w:rsidR="00436512">
              <w:rPr>
                <w:rFonts w:ascii="Times New Roman" w:eastAsia="標楷體" w:hAnsi="Times New Roman" w:hint="eastAsia"/>
                <w:szCs w:val="24"/>
              </w:rPr>
              <w:t>所致</w:t>
            </w:r>
            <w:r w:rsidRPr="005F63B3">
              <w:rPr>
                <w:rFonts w:ascii="Times New Roman" w:eastAsia="標楷體" w:hAnsi="Times New Roman"/>
                <w:szCs w:val="24"/>
              </w:rPr>
              <w:t>。</w:t>
            </w:r>
            <w:proofErr w:type="spellStart"/>
            <w:r w:rsidR="00366FFA" w:rsidRPr="003E7C81">
              <w:rPr>
                <w:rFonts w:ascii="Times New Roman" w:eastAsia="標楷體" w:hAnsi="Times New Roman"/>
                <w:szCs w:val="24"/>
              </w:rPr>
              <w:t>i</w:t>
            </w:r>
            <w:r w:rsidR="005F63B3" w:rsidRPr="005F63B3">
              <w:rPr>
                <w:rFonts w:ascii="Times New Roman" w:eastAsia="標楷體" w:hAnsi="Times New Roman"/>
                <w:szCs w:val="24"/>
              </w:rPr>
              <w:t>navolisib</w:t>
            </w:r>
            <w:proofErr w:type="spellEnd"/>
            <w:r w:rsidR="003E7C81" w:rsidRPr="005F63B3">
              <w:rPr>
                <w:rFonts w:ascii="Times New Roman" w:eastAsia="標楷體" w:hAnsi="Times New Roman" w:hint="eastAsia"/>
                <w:szCs w:val="24"/>
              </w:rPr>
              <w:t>藉由</w:t>
            </w:r>
            <w:r w:rsidR="00436512">
              <w:rPr>
                <w:rFonts w:ascii="Times New Roman" w:eastAsia="標楷體" w:hAnsi="Times New Roman" w:hint="eastAsia"/>
                <w:szCs w:val="24"/>
              </w:rPr>
              <w:t>上述作用</w:t>
            </w:r>
            <w:r w:rsidR="00436512" w:rsidRPr="00436512">
              <w:rPr>
                <w:rFonts w:ascii="標楷體" w:eastAsia="標楷體" w:hAnsi="標楷體" w:cs="標楷體" w:hint="eastAsia"/>
                <w:szCs w:val="24"/>
              </w:rPr>
              <w:t>機制</w:t>
            </w:r>
            <w:r w:rsidR="00436512">
              <w:rPr>
                <w:rFonts w:ascii="標楷體" w:eastAsia="標楷體" w:hAnsi="標楷體" w:cs="標楷體" w:hint="eastAsia"/>
                <w:szCs w:val="24"/>
              </w:rPr>
              <w:t>，</w:t>
            </w:r>
            <w:r w:rsidR="003E7C81" w:rsidRPr="005F63B3">
              <w:rPr>
                <w:rFonts w:ascii="Times New Roman" w:eastAsia="標楷體" w:hAnsi="Times New Roman" w:hint="eastAsia"/>
                <w:szCs w:val="24"/>
              </w:rPr>
              <w:t>抑制下游</w:t>
            </w:r>
            <w:r w:rsidR="003E7C81" w:rsidRPr="005F63B3">
              <w:rPr>
                <w:rFonts w:ascii="Times New Roman" w:eastAsia="標楷體" w:hAnsi="Times New Roman"/>
                <w:szCs w:val="24"/>
              </w:rPr>
              <w:t>PI3K</w:t>
            </w:r>
            <w:r w:rsidR="003E7C81" w:rsidRPr="005F63B3">
              <w:rPr>
                <w:rFonts w:ascii="Times New Roman" w:eastAsia="標楷體" w:hAnsi="Times New Roman" w:hint="eastAsia"/>
                <w:szCs w:val="24"/>
              </w:rPr>
              <w:t>路徑標靶的活性，包括</w:t>
            </w:r>
            <w:r w:rsidR="003E7C81" w:rsidRPr="005F63B3">
              <w:rPr>
                <w:rFonts w:ascii="Times New Roman" w:eastAsia="標楷體" w:hAnsi="Times New Roman"/>
                <w:szCs w:val="24"/>
              </w:rPr>
              <w:t>AKT</w:t>
            </w:r>
            <w:r w:rsidR="003E7C81" w:rsidRPr="005F63B3">
              <w:rPr>
                <w:rFonts w:ascii="Times New Roman" w:eastAsia="標楷體" w:hAnsi="Times New Roman" w:hint="eastAsia"/>
                <w:szCs w:val="24"/>
              </w:rPr>
              <w:t>，</w:t>
            </w:r>
            <w:r w:rsidR="003F4104" w:rsidRPr="005F63B3">
              <w:rPr>
                <w:rFonts w:ascii="標楷體" w:eastAsia="標楷體" w:hAnsi="標楷體" w:cs="標楷體" w:hint="eastAsia"/>
                <w:szCs w:val="24"/>
              </w:rPr>
              <w:t>減少</w:t>
            </w:r>
            <w:r w:rsidR="003E7C81" w:rsidRPr="005F63B3">
              <w:rPr>
                <w:rFonts w:ascii="Times New Roman" w:eastAsia="標楷體" w:hAnsi="Times New Roman"/>
                <w:szCs w:val="24"/>
              </w:rPr>
              <w:t>PIK3CA</w:t>
            </w:r>
            <w:r w:rsidR="003E7C81" w:rsidRPr="005F63B3">
              <w:rPr>
                <w:rFonts w:ascii="Times New Roman" w:eastAsia="標楷體" w:hAnsi="Times New Roman" w:hint="eastAsia"/>
                <w:szCs w:val="24"/>
              </w:rPr>
              <w:t>突變乳癌株的細胞增生</w:t>
            </w:r>
            <w:r w:rsidR="003E7C81" w:rsidRPr="005F63B3">
              <w:rPr>
                <w:rFonts w:ascii="標楷體" w:eastAsia="標楷體" w:hAnsi="標楷體" w:cs="標楷體" w:hint="eastAsia"/>
                <w:szCs w:val="24"/>
              </w:rPr>
              <w:t>並誘發細胞凋</w:t>
            </w:r>
            <w:r w:rsidR="003E7C81" w:rsidRPr="005F63B3">
              <w:rPr>
                <w:rFonts w:ascii="Times New Roman" w:eastAsia="標楷體" w:hAnsi="Times New Roman" w:hint="eastAsia"/>
                <w:szCs w:val="24"/>
              </w:rPr>
              <w:t>亡。</w:t>
            </w:r>
          </w:p>
        </w:tc>
      </w:tr>
      <w:tr w:rsidR="00790553" w:rsidRPr="00F441C9" w14:paraId="4C7118D6" w14:textId="77777777" w:rsidTr="005E4F1B">
        <w:trPr>
          <w:trHeight w:val="416"/>
          <w:jc w:val="center"/>
        </w:trPr>
        <w:tc>
          <w:tcPr>
            <w:tcW w:w="2413" w:type="dxa"/>
            <w:vAlign w:val="center"/>
          </w:tcPr>
          <w:p w14:paraId="2FD166DF" w14:textId="77777777" w:rsidR="00790553" w:rsidRPr="00F441C9" w:rsidRDefault="00790553" w:rsidP="005E4F1B">
            <w:pPr>
              <w:jc w:val="center"/>
              <w:rPr>
                <w:rFonts w:ascii="Times New Roman" w:eastAsia="標楷體" w:hAnsi="Times New Roman"/>
                <w:color w:val="000000"/>
              </w:rPr>
            </w:pPr>
            <w:r w:rsidRPr="00F441C9">
              <w:rPr>
                <w:rFonts w:ascii="Times New Roman" w:eastAsia="標楷體" w:hAnsi="Times New Roman"/>
                <w:color w:val="000000"/>
              </w:rPr>
              <w:t>訊息緣由</w:t>
            </w:r>
          </w:p>
        </w:tc>
        <w:tc>
          <w:tcPr>
            <w:tcW w:w="7316" w:type="dxa"/>
          </w:tcPr>
          <w:p w14:paraId="0F6453AE" w14:textId="21288918" w:rsidR="00790553" w:rsidRPr="00F441C9" w:rsidRDefault="00301BCC" w:rsidP="005230B9">
            <w:pPr>
              <w:widowControl/>
              <w:shd w:val="clear" w:color="auto" w:fill="FFFFFF"/>
              <w:jc w:val="both"/>
              <w:rPr>
                <w:rFonts w:ascii="Times New Roman" w:eastAsia="標楷體" w:hAnsi="Times New Roman"/>
              </w:rPr>
            </w:pPr>
            <w:r w:rsidRPr="00F441C9">
              <w:rPr>
                <w:rFonts w:ascii="Times New Roman" w:eastAsia="標楷體" w:hAnsi="Times New Roman"/>
                <w:kern w:val="0"/>
                <w:szCs w:val="24"/>
              </w:rPr>
              <w:t>2025/10/</w:t>
            </w:r>
            <w:r w:rsidR="005521BE" w:rsidRPr="00F441C9">
              <w:rPr>
                <w:rFonts w:ascii="Times New Roman" w:eastAsia="標楷體" w:hAnsi="Times New Roman"/>
                <w:kern w:val="0"/>
                <w:szCs w:val="24"/>
              </w:rPr>
              <w:t>9</w:t>
            </w:r>
            <w:r w:rsidR="005521BE" w:rsidRPr="00F441C9">
              <w:rPr>
                <w:rFonts w:ascii="Times New Roman" w:eastAsia="標楷體" w:hAnsi="Times New Roman"/>
                <w:bCs/>
                <w:kern w:val="36"/>
                <w:szCs w:val="24"/>
                <w:lang w:bidi="hi-IN"/>
              </w:rPr>
              <w:t>加拿大</w:t>
            </w:r>
            <w:r w:rsidR="005521BE" w:rsidRPr="00F441C9">
              <w:rPr>
                <w:rFonts w:ascii="Times New Roman" w:eastAsia="標楷體" w:hAnsi="Times New Roman"/>
                <w:bCs/>
                <w:kern w:val="36"/>
                <w:szCs w:val="24"/>
                <w:lang w:bidi="hi-IN"/>
              </w:rPr>
              <w:t>Health Canada</w:t>
            </w:r>
            <w:r w:rsidR="005521BE" w:rsidRPr="00F441C9">
              <w:rPr>
                <w:rFonts w:ascii="Times New Roman" w:eastAsia="標楷體" w:hAnsi="Times New Roman"/>
                <w:bCs/>
                <w:kern w:val="36"/>
                <w:szCs w:val="24"/>
                <w:lang w:bidi="hi-IN"/>
              </w:rPr>
              <w:t>發布致醫療人員溝通函，</w:t>
            </w:r>
            <w:r w:rsidR="00320C24">
              <w:rPr>
                <w:rFonts w:ascii="Times New Roman" w:eastAsia="標楷體" w:hAnsi="Times New Roman" w:hint="eastAsia"/>
                <w:bCs/>
                <w:kern w:val="36"/>
                <w:szCs w:val="24"/>
                <w:lang w:bidi="hi-IN"/>
              </w:rPr>
              <w:t>說明</w:t>
            </w:r>
            <w:r w:rsidR="005A388F">
              <w:rPr>
                <w:rFonts w:ascii="Times New Roman" w:eastAsia="標楷體" w:hAnsi="Times New Roman" w:hint="eastAsia"/>
                <w:bCs/>
                <w:kern w:val="36"/>
                <w:szCs w:val="24"/>
                <w:lang w:bidi="hi-IN"/>
              </w:rPr>
              <w:t>在</w:t>
            </w:r>
            <w:r w:rsidR="00EA2A67" w:rsidRPr="00EA2A67">
              <w:rPr>
                <w:rFonts w:ascii="Times New Roman" w:eastAsia="標楷體" w:hAnsi="Times New Roman" w:hint="eastAsia"/>
                <w:bCs/>
                <w:kern w:val="36"/>
                <w:szCs w:val="24"/>
                <w:lang w:bidi="hi-IN"/>
              </w:rPr>
              <w:t>藥品</w:t>
            </w:r>
            <w:proofErr w:type="spellStart"/>
            <w:r w:rsidR="005230B9" w:rsidRPr="00F441C9">
              <w:rPr>
                <w:rFonts w:ascii="Times New Roman" w:eastAsia="標楷體" w:hAnsi="Times New Roman"/>
                <w:bCs/>
                <w:kern w:val="36"/>
                <w:szCs w:val="24"/>
                <w:lang w:bidi="hi-IN"/>
              </w:rPr>
              <w:t>I</w:t>
            </w:r>
            <w:r w:rsidR="00C663BF" w:rsidRPr="00F441C9">
              <w:rPr>
                <w:rFonts w:ascii="Times New Roman" w:eastAsia="標楷體" w:hAnsi="Times New Roman"/>
                <w:bCs/>
                <w:kern w:val="36"/>
                <w:szCs w:val="24"/>
                <w:lang w:bidi="hi-IN"/>
              </w:rPr>
              <w:t>tovebi</w:t>
            </w:r>
            <w:proofErr w:type="spellEnd"/>
            <w:r w:rsidR="005230B9" w:rsidRPr="005230B9">
              <w:rPr>
                <w:rFonts w:ascii="Times New Roman" w:eastAsia="標楷體" w:hAnsi="Times New Roman"/>
                <w:bCs/>
                <w:kern w:val="36"/>
                <w:szCs w:val="24"/>
                <w:vertAlign w:val="superscript"/>
                <w:lang w:bidi="hi-IN"/>
              </w:rPr>
              <w:t>®</w:t>
            </w:r>
            <w:r w:rsidR="005230B9">
              <w:rPr>
                <w:rFonts w:ascii="Times New Roman" w:eastAsia="標楷體" w:hAnsi="Times New Roman" w:hint="eastAsia"/>
                <w:bCs/>
                <w:kern w:val="36"/>
                <w:szCs w:val="24"/>
                <w:lang w:bidi="hi-IN"/>
              </w:rPr>
              <w:t xml:space="preserve"> (</w:t>
            </w:r>
            <w:proofErr w:type="gramStart"/>
            <w:r w:rsidR="00D25959">
              <w:rPr>
                <w:rFonts w:ascii="Times New Roman" w:eastAsia="標楷體" w:hAnsi="Times New Roman" w:hint="eastAsia"/>
                <w:bCs/>
                <w:kern w:val="36"/>
                <w:szCs w:val="24"/>
                <w:lang w:bidi="hi-IN"/>
              </w:rPr>
              <w:t>主成分為</w:t>
            </w:r>
            <w:proofErr w:type="spellStart"/>
            <w:proofErr w:type="gramEnd"/>
            <w:r w:rsidR="005230B9" w:rsidRPr="00F441C9">
              <w:rPr>
                <w:rFonts w:ascii="Times New Roman" w:eastAsia="標楷體" w:hAnsi="Times New Roman"/>
                <w:bCs/>
                <w:kern w:val="36"/>
                <w:szCs w:val="24"/>
                <w:lang w:bidi="hi-IN"/>
              </w:rPr>
              <w:t>inavolisib</w:t>
            </w:r>
            <w:proofErr w:type="spellEnd"/>
            <w:r w:rsidR="005230B9">
              <w:rPr>
                <w:rFonts w:ascii="Times New Roman" w:eastAsia="標楷體" w:hAnsi="Times New Roman" w:hint="eastAsia"/>
                <w:bCs/>
                <w:kern w:val="36"/>
                <w:szCs w:val="24"/>
                <w:lang w:bidi="hi-IN"/>
              </w:rPr>
              <w:t>)</w:t>
            </w:r>
            <w:r w:rsidR="005521BE" w:rsidRPr="00F441C9">
              <w:rPr>
                <w:rFonts w:ascii="Times New Roman" w:eastAsia="標楷體" w:hAnsi="Times New Roman"/>
                <w:bCs/>
                <w:kern w:val="36"/>
                <w:szCs w:val="24"/>
                <w:lang w:bidi="hi-IN"/>
              </w:rPr>
              <w:t>上市後</w:t>
            </w:r>
            <w:r w:rsidR="005230B9">
              <w:rPr>
                <w:rFonts w:ascii="Times New Roman" w:eastAsia="標楷體" w:hAnsi="Times New Roman" w:hint="eastAsia"/>
                <w:bCs/>
                <w:kern w:val="36"/>
                <w:szCs w:val="24"/>
                <w:lang w:bidi="hi-IN"/>
              </w:rPr>
              <w:t>，</w:t>
            </w:r>
            <w:r w:rsidR="005521BE" w:rsidRPr="00F441C9">
              <w:rPr>
                <w:rFonts w:ascii="Times New Roman" w:eastAsia="標楷體" w:hAnsi="Times New Roman"/>
                <w:bCs/>
                <w:kern w:val="36"/>
                <w:szCs w:val="24"/>
                <w:lang w:bidi="hi-IN"/>
              </w:rPr>
              <w:t>接獲</w:t>
            </w:r>
            <w:r w:rsidR="005521BE" w:rsidRPr="00F441C9">
              <w:rPr>
                <w:rFonts w:ascii="Times New Roman" w:eastAsia="標楷體" w:hAnsi="Times New Roman"/>
                <w:bCs/>
                <w:kern w:val="36"/>
                <w:szCs w:val="24"/>
                <w:lang w:bidi="hi-IN"/>
              </w:rPr>
              <w:t>2</w:t>
            </w:r>
            <w:r w:rsidR="00320C24">
              <w:rPr>
                <w:rFonts w:ascii="Times New Roman" w:eastAsia="標楷體" w:hAnsi="Times New Roman" w:hint="eastAsia"/>
                <w:bCs/>
                <w:kern w:val="36"/>
                <w:szCs w:val="24"/>
                <w:lang w:bidi="hi-IN"/>
              </w:rPr>
              <w:t>件</w:t>
            </w:r>
            <w:r w:rsidR="005521BE" w:rsidRPr="00F441C9">
              <w:rPr>
                <w:rFonts w:ascii="Times New Roman" w:eastAsia="標楷體" w:hAnsi="Times New Roman"/>
                <w:bCs/>
                <w:kern w:val="36"/>
                <w:szCs w:val="24"/>
                <w:lang w:bidi="hi-IN"/>
              </w:rPr>
              <w:t>糖尿病病人</w:t>
            </w:r>
            <w:r w:rsidR="000C4D8F">
              <w:rPr>
                <w:rFonts w:ascii="Times New Roman" w:eastAsia="標楷體" w:hAnsi="Times New Roman" w:hint="eastAsia"/>
                <w:bCs/>
                <w:kern w:val="36"/>
                <w:szCs w:val="24"/>
                <w:lang w:bidi="hi-IN"/>
              </w:rPr>
              <w:t>使用</w:t>
            </w:r>
            <w:r w:rsidR="005521BE" w:rsidRPr="00F441C9">
              <w:rPr>
                <w:rFonts w:ascii="Times New Roman" w:eastAsia="標楷體" w:hAnsi="Times New Roman"/>
                <w:bCs/>
                <w:kern w:val="36"/>
                <w:szCs w:val="24"/>
                <w:lang w:bidi="hi-IN"/>
              </w:rPr>
              <w:t>後發</w:t>
            </w:r>
            <w:r w:rsidR="000C4D8F">
              <w:rPr>
                <w:rFonts w:ascii="Times New Roman" w:eastAsia="標楷體" w:hAnsi="Times New Roman" w:hint="eastAsia"/>
                <w:bCs/>
                <w:kern w:val="36"/>
                <w:szCs w:val="24"/>
                <w:lang w:bidi="hi-IN"/>
              </w:rPr>
              <w:t>生</w:t>
            </w:r>
            <w:r w:rsidR="005521BE" w:rsidRPr="00F441C9">
              <w:rPr>
                <w:rFonts w:ascii="Times New Roman" w:eastAsia="標楷體" w:hAnsi="Times New Roman"/>
                <w:bCs/>
                <w:kern w:val="36"/>
                <w:szCs w:val="24"/>
                <w:lang w:bidi="hi-IN"/>
              </w:rPr>
              <w:t>危及生命或致命</w:t>
            </w:r>
            <w:proofErr w:type="gramStart"/>
            <w:r w:rsidR="005521BE" w:rsidRPr="00F441C9">
              <w:rPr>
                <w:rFonts w:ascii="Times New Roman" w:eastAsia="標楷體" w:hAnsi="Times New Roman"/>
                <w:bCs/>
                <w:kern w:val="36"/>
                <w:szCs w:val="24"/>
                <w:lang w:bidi="hi-IN"/>
              </w:rPr>
              <w:t>酮</w:t>
            </w:r>
            <w:proofErr w:type="gramEnd"/>
            <w:r w:rsidR="005521BE" w:rsidRPr="00F441C9">
              <w:rPr>
                <w:rFonts w:ascii="Times New Roman" w:eastAsia="標楷體" w:hAnsi="Times New Roman"/>
                <w:bCs/>
                <w:kern w:val="36"/>
                <w:szCs w:val="24"/>
                <w:lang w:bidi="hi-IN"/>
              </w:rPr>
              <w:t>酸中毒</w:t>
            </w:r>
            <w:r w:rsidR="00BD6760" w:rsidRPr="00F441C9">
              <w:rPr>
                <w:rFonts w:ascii="Times New Roman" w:eastAsia="標楷體" w:hAnsi="Times New Roman"/>
                <w:bCs/>
                <w:kern w:val="36"/>
                <w:szCs w:val="24"/>
                <w:lang w:bidi="hi-IN"/>
              </w:rPr>
              <w:t>的</w:t>
            </w:r>
            <w:r w:rsidR="005521BE" w:rsidRPr="00F441C9">
              <w:rPr>
                <w:rFonts w:ascii="Times New Roman" w:eastAsia="標楷體" w:hAnsi="Times New Roman"/>
                <w:bCs/>
                <w:kern w:val="36"/>
                <w:szCs w:val="24"/>
                <w:lang w:bidi="hi-IN"/>
              </w:rPr>
              <w:t>通報案例</w:t>
            </w:r>
            <w:r w:rsidR="00790553" w:rsidRPr="00F441C9">
              <w:rPr>
                <w:rFonts w:ascii="Times New Roman" w:eastAsia="標楷體" w:hAnsi="Times New Roman"/>
                <w:color w:val="222222"/>
                <w:kern w:val="0"/>
                <w:szCs w:val="24"/>
              </w:rPr>
              <w:t>。</w:t>
            </w:r>
          </w:p>
          <w:p w14:paraId="16EAE573" w14:textId="1705936B" w:rsidR="00790553" w:rsidRPr="00F441C9" w:rsidRDefault="00790553" w:rsidP="005E4F1B">
            <w:pPr>
              <w:widowControl/>
              <w:shd w:val="clear" w:color="auto" w:fill="FFFFFF"/>
              <w:rPr>
                <w:rFonts w:ascii="Times New Roman" w:eastAsia="標楷體" w:hAnsi="Times New Roman"/>
                <w:u w:val="single"/>
              </w:rPr>
            </w:pPr>
            <w:r w:rsidRPr="00F441C9">
              <w:rPr>
                <w:rFonts w:ascii="Times New Roman" w:eastAsia="標楷體" w:hAnsi="Times New Roman"/>
                <w:kern w:val="0"/>
                <w:szCs w:val="24"/>
              </w:rPr>
              <w:t>網址：</w:t>
            </w:r>
            <w:r w:rsidR="002727E5">
              <w:fldChar w:fldCharType="begin"/>
            </w:r>
            <w:r w:rsidR="002727E5">
              <w:instrText xml:space="preserve"> HYPERLINK "https://recalls-rappels.canada.ca/en/alert-recall/itovebi-inavolisib-and-risk-life-threatening-ketoacidosis" </w:instrText>
            </w:r>
            <w:r w:rsidR="002727E5">
              <w:fldChar w:fldCharType="separate"/>
            </w:r>
            <w:r w:rsidR="000242F9" w:rsidRPr="00F441C9">
              <w:rPr>
                <w:rStyle w:val="a4"/>
                <w:rFonts w:ascii="Times New Roman" w:eastAsia="標楷體" w:hAnsi="Times New Roman"/>
              </w:rPr>
              <w:t>https://recalls-rappels.canada.ca/en/alert-recall/itovebi-inavolisib-and-risk-life-threatening-ketoacidosis</w:t>
            </w:r>
            <w:r w:rsidR="002727E5">
              <w:rPr>
                <w:rStyle w:val="a4"/>
                <w:rFonts w:ascii="Times New Roman" w:eastAsia="標楷體" w:hAnsi="Times New Roman"/>
              </w:rPr>
              <w:fldChar w:fldCharType="end"/>
            </w:r>
          </w:p>
        </w:tc>
      </w:tr>
      <w:tr w:rsidR="00790553" w:rsidRPr="00F441C9" w14:paraId="48E08A00" w14:textId="77777777" w:rsidTr="00AD4368">
        <w:trPr>
          <w:trHeight w:val="3213"/>
          <w:jc w:val="center"/>
        </w:trPr>
        <w:tc>
          <w:tcPr>
            <w:tcW w:w="2413" w:type="dxa"/>
            <w:vAlign w:val="center"/>
          </w:tcPr>
          <w:p w14:paraId="29D29C17" w14:textId="77777777" w:rsidR="00790553" w:rsidRPr="00F441C9" w:rsidRDefault="00790553" w:rsidP="005E4F1B">
            <w:pPr>
              <w:jc w:val="center"/>
              <w:rPr>
                <w:rFonts w:ascii="Times New Roman" w:eastAsia="標楷體" w:hAnsi="Times New Roman"/>
                <w:color w:val="000000"/>
              </w:rPr>
            </w:pPr>
            <w:r w:rsidRPr="00F441C9">
              <w:rPr>
                <w:rFonts w:ascii="Times New Roman" w:eastAsia="標楷體" w:hAnsi="Times New Roman"/>
              </w:rPr>
              <w:t>藥品安全有關資訊分析及描述</w:t>
            </w:r>
          </w:p>
        </w:tc>
        <w:tc>
          <w:tcPr>
            <w:tcW w:w="7316" w:type="dxa"/>
          </w:tcPr>
          <w:p w14:paraId="7594098C" w14:textId="7BAA75B5" w:rsidR="00973BA4" w:rsidRPr="00973BA4" w:rsidRDefault="00973BA4" w:rsidP="00AD4368">
            <w:pPr>
              <w:pStyle w:val="a3"/>
              <w:widowControl/>
              <w:numPr>
                <w:ilvl w:val="0"/>
                <w:numId w:val="10"/>
              </w:numPr>
              <w:shd w:val="clear" w:color="auto" w:fill="FFFFFF"/>
              <w:ind w:leftChars="0" w:left="311" w:hanging="311"/>
              <w:jc w:val="both"/>
              <w:rPr>
                <w:rFonts w:ascii="Times New Roman" w:eastAsia="標楷體" w:hAnsi="Times New Roman"/>
                <w:kern w:val="0"/>
                <w:szCs w:val="24"/>
              </w:rPr>
            </w:pPr>
            <w:r w:rsidRPr="00C52225">
              <w:rPr>
                <w:rFonts w:ascii="Times New Roman" w:eastAsia="標楷體" w:hAnsi="Times New Roman"/>
                <w:szCs w:val="24"/>
              </w:rPr>
              <w:t>PI3K/AKT</w:t>
            </w:r>
            <w:r w:rsidRPr="00C52225">
              <w:rPr>
                <w:rFonts w:ascii="Times New Roman" w:eastAsia="標楷體" w:hAnsi="Times New Roman"/>
                <w:szCs w:val="24"/>
              </w:rPr>
              <w:t>抑制劑</w:t>
            </w:r>
            <w:r>
              <w:rPr>
                <w:rFonts w:ascii="Times New Roman" w:eastAsia="標楷體" w:hAnsi="Times New Roman" w:hint="eastAsia"/>
                <w:szCs w:val="24"/>
              </w:rPr>
              <w:t>具有</w:t>
            </w:r>
            <w:r w:rsidR="000D5443">
              <w:rPr>
                <w:rFonts w:ascii="Times New Roman" w:eastAsia="標楷體" w:hAnsi="Times New Roman" w:hint="eastAsia"/>
                <w:szCs w:val="24"/>
              </w:rPr>
              <w:t>導致</w:t>
            </w:r>
            <w:r>
              <w:rPr>
                <w:rFonts w:ascii="Times New Roman" w:eastAsia="標楷體" w:hAnsi="Times New Roman" w:hint="eastAsia"/>
                <w:szCs w:val="24"/>
              </w:rPr>
              <w:t>高血糖</w:t>
            </w:r>
            <w:r w:rsidR="000D5443">
              <w:rPr>
                <w:rFonts w:ascii="Times New Roman" w:eastAsia="標楷體" w:hAnsi="Times New Roman" w:hint="eastAsia"/>
                <w:szCs w:val="24"/>
              </w:rPr>
              <w:t>之</w:t>
            </w:r>
            <w:r>
              <w:rPr>
                <w:rFonts w:ascii="Times New Roman" w:eastAsia="標楷體" w:hAnsi="Times New Roman" w:hint="eastAsia"/>
                <w:szCs w:val="24"/>
              </w:rPr>
              <w:t>風險，高血糖的</w:t>
            </w:r>
            <w:proofErr w:type="gramStart"/>
            <w:r>
              <w:rPr>
                <w:rFonts w:ascii="Times New Roman" w:eastAsia="標楷體" w:hAnsi="Times New Roman" w:hint="eastAsia"/>
                <w:szCs w:val="24"/>
              </w:rPr>
              <w:t>併發症如酮酸中毒</w:t>
            </w:r>
            <w:proofErr w:type="gramEnd"/>
            <w:r>
              <w:rPr>
                <w:rFonts w:ascii="Times New Roman" w:eastAsia="標楷體" w:hAnsi="Times New Roman" w:hint="eastAsia"/>
                <w:szCs w:val="24"/>
              </w:rPr>
              <w:t>，罕見但嚴重，其特徵包含電解質失衡、代謝性酸中毒、</w:t>
            </w:r>
            <w:proofErr w:type="gramStart"/>
            <w:r>
              <w:rPr>
                <w:rFonts w:ascii="Times New Roman" w:eastAsia="標楷體" w:hAnsi="Times New Roman" w:hint="eastAsia"/>
                <w:szCs w:val="24"/>
              </w:rPr>
              <w:t>酮血症</w:t>
            </w:r>
            <w:proofErr w:type="gramEnd"/>
            <w:r>
              <w:rPr>
                <w:rFonts w:ascii="Times New Roman" w:eastAsia="標楷體" w:hAnsi="Times New Roman" w:hint="eastAsia"/>
                <w:szCs w:val="24"/>
              </w:rPr>
              <w:t>等</w:t>
            </w:r>
            <w:r w:rsidR="003A2001">
              <w:rPr>
                <w:rFonts w:ascii="Times New Roman" w:eastAsia="標楷體" w:hAnsi="Times New Roman" w:hint="eastAsia"/>
                <w:szCs w:val="24"/>
              </w:rPr>
              <w:t>，</w:t>
            </w:r>
            <w:proofErr w:type="gramStart"/>
            <w:r w:rsidR="003A2001">
              <w:rPr>
                <w:rFonts w:ascii="Times New Roman" w:eastAsia="標楷體" w:hAnsi="Times New Roman" w:hint="eastAsia"/>
                <w:szCs w:val="24"/>
              </w:rPr>
              <w:t>倘未</w:t>
            </w:r>
            <w:r w:rsidR="001F5A78">
              <w:rPr>
                <w:rFonts w:ascii="Times New Roman" w:eastAsia="標楷體" w:hAnsi="Times New Roman" w:hint="eastAsia"/>
                <w:szCs w:val="24"/>
              </w:rPr>
              <w:t>接受</w:t>
            </w:r>
            <w:proofErr w:type="gramEnd"/>
            <w:r w:rsidR="003A2001" w:rsidRPr="009A7CA2">
              <w:rPr>
                <w:rFonts w:ascii="Times New Roman" w:eastAsia="標楷體" w:hAnsi="Times New Roman"/>
                <w:kern w:val="0"/>
                <w:szCs w:val="24"/>
              </w:rPr>
              <w:t>適當治療可能導致死亡</w:t>
            </w:r>
            <w:r>
              <w:rPr>
                <w:rFonts w:ascii="Times New Roman" w:eastAsia="標楷體" w:hAnsi="Times New Roman" w:hint="eastAsia"/>
                <w:szCs w:val="24"/>
              </w:rPr>
              <w:t>。</w:t>
            </w:r>
          </w:p>
          <w:p w14:paraId="1A26ED36" w14:textId="1E7B9FA6" w:rsidR="00790553" w:rsidRPr="00B33C38" w:rsidRDefault="00973BA4" w:rsidP="00AD4368">
            <w:pPr>
              <w:pStyle w:val="a3"/>
              <w:widowControl/>
              <w:numPr>
                <w:ilvl w:val="0"/>
                <w:numId w:val="10"/>
              </w:numPr>
              <w:shd w:val="clear" w:color="auto" w:fill="FFFFFF"/>
              <w:ind w:leftChars="0" w:left="311" w:hanging="311"/>
              <w:jc w:val="both"/>
              <w:rPr>
                <w:rFonts w:ascii="Times New Roman" w:eastAsia="標楷體" w:hAnsi="Times New Roman"/>
                <w:kern w:val="0"/>
                <w:szCs w:val="24"/>
              </w:rPr>
            </w:pPr>
            <w:r>
              <w:rPr>
                <w:rFonts w:ascii="Times New Roman" w:eastAsia="標楷體" w:hAnsi="Times New Roman" w:hint="eastAsia"/>
                <w:szCs w:val="24"/>
              </w:rPr>
              <w:t>加拿大</w:t>
            </w:r>
            <w:r w:rsidR="00FF22F8" w:rsidRPr="00F441C9">
              <w:rPr>
                <w:rFonts w:ascii="Times New Roman" w:eastAsia="標楷體" w:hAnsi="Times New Roman"/>
                <w:bCs/>
                <w:kern w:val="36"/>
                <w:szCs w:val="24"/>
                <w:lang w:bidi="hi-IN"/>
              </w:rPr>
              <w:t>Health Canada</w:t>
            </w:r>
            <w:r w:rsidR="003A2001">
              <w:rPr>
                <w:rFonts w:ascii="Times New Roman" w:eastAsia="標楷體" w:hAnsi="Times New Roman" w:hint="eastAsia"/>
                <w:bCs/>
                <w:kern w:val="36"/>
                <w:szCs w:val="24"/>
                <w:lang w:bidi="hi-IN"/>
              </w:rPr>
              <w:t>已</w:t>
            </w:r>
            <w:r>
              <w:rPr>
                <w:rFonts w:ascii="Times New Roman" w:eastAsia="標楷體" w:hAnsi="Times New Roman" w:hint="eastAsia"/>
                <w:szCs w:val="24"/>
              </w:rPr>
              <w:t>接獲</w:t>
            </w:r>
            <w:r>
              <w:rPr>
                <w:rFonts w:ascii="Times New Roman" w:eastAsia="標楷體" w:hAnsi="Times New Roman" w:hint="eastAsia"/>
                <w:szCs w:val="24"/>
              </w:rPr>
              <w:t>2</w:t>
            </w:r>
            <w:r>
              <w:rPr>
                <w:rFonts w:ascii="Times New Roman" w:eastAsia="標楷體" w:hAnsi="Times New Roman" w:hint="eastAsia"/>
                <w:szCs w:val="24"/>
              </w:rPr>
              <w:t>件</w:t>
            </w:r>
            <w:r w:rsidR="003A2001" w:rsidRPr="00F441C9">
              <w:rPr>
                <w:rFonts w:ascii="Times New Roman" w:eastAsia="標楷體" w:hAnsi="Times New Roman"/>
                <w:bCs/>
                <w:kern w:val="36"/>
                <w:szCs w:val="24"/>
                <w:lang w:bidi="hi-IN"/>
              </w:rPr>
              <w:t>糖尿病病人</w:t>
            </w:r>
            <w:r w:rsidR="003A2001">
              <w:rPr>
                <w:rFonts w:ascii="Times New Roman" w:eastAsia="標楷體" w:hAnsi="Times New Roman" w:hint="eastAsia"/>
                <w:bCs/>
                <w:kern w:val="36"/>
                <w:szCs w:val="24"/>
                <w:lang w:bidi="hi-IN"/>
              </w:rPr>
              <w:t>使用</w:t>
            </w:r>
            <w:r w:rsidR="00370928" w:rsidRPr="00C52225">
              <w:rPr>
                <w:rFonts w:ascii="Times New Roman" w:eastAsia="標楷體" w:hAnsi="Times New Roman"/>
                <w:szCs w:val="24"/>
              </w:rPr>
              <w:t>PI3K</w:t>
            </w:r>
            <w:r w:rsidR="00405535" w:rsidRPr="00436512">
              <w:rPr>
                <w:rFonts w:ascii="Times New Roman" w:eastAsia="標楷體" w:hAnsi="Times New Roman"/>
                <w:szCs w:val="24"/>
              </w:rPr>
              <w:t>α</w:t>
            </w:r>
            <w:r w:rsidR="00370928">
              <w:rPr>
                <w:rFonts w:ascii="Times New Roman" w:eastAsia="標楷體" w:hAnsi="Times New Roman" w:hint="eastAsia"/>
                <w:bCs/>
                <w:kern w:val="36"/>
                <w:szCs w:val="24"/>
                <w:lang w:bidi="hi-IN"/>
              </w:rPr>
              <w:t>抑制劑</w:t>
            </w:r>
            <w:proofErr w:type="spellStart"/>
            <w:r w:rsidR="003A2001" w:rsidRPr="00F441C9">
              <w:rPr>
                <w:rFonts w:ascii="Times New Roman" w:eastAsia="標楷體" w:hAnsi="Times New Roman"/>
                <w:bCs/>
                <w:kern w:val="36"/>
                <w:szCs w:val="24"/>
                <w:lang w:bidi="hi-IN"/>
              </w:rPr>
              <w:t>inavolisib</w:t>
            </w:r>
            <w:proofErr w:type="spellEnd"/>
            <w:r w:rsidR="003A2001" w:rsidRPr="00F441C9">
              <w:rPr>
                <w:rFonts w:ascii="Times New Roman" w:eastAsia="標楷體" w:hAnsi="Times New Roman"/>
                <w:bCs/>
                <w:kern w:val="36"/>
                <w:szCs w:val="24"/>
                <w:lang w:bidi="hi-IN"/>
              </w:rPr>
              <w:t>後</w:t>
            </w:r>
            <w:r w:rsidR="003A2001">
              <w:rPr>
                <w:rFonts w:ascii="Times New Roman" w:eastAsia="標楷體" w:hAnsi="Times New Roman" w:hint="eastAsia"/>
                <w:bCs/>
                <w:kern w:val="36"/>
                <w:szCs w:val="24"/>
                <w:lang w:bidi="hi-IN"/>
              </w:rPr>
              <w:t>，</w:t>
            </w:r>
            <w:r w:rsidR="003A2001" w:rsidRPr="00F441C9">
              <w:rPr>
                <w:rFonts w:ascii="Times New Roman" w:eastAsia="標楷體" w:hAnsi="Times New Roman"/>
                <w:bCs/>
                <w:kern w:val="36"/>
                <w:szCs w:val="24"/>
                <w:lang w:bidi="hi-IN"/>
              </w:rPr>
              <w:t>發</w:t>
            </w:r>
            <w:r w:rsidR="003A2001">
              <w:rPr>
                <w:rFonts w:ascii="Times New Roman" w:eastAsia="標楷體" w:hAnsi="Times New Roman" w:hint="eastAsia"/>
                <w:bCs/>
                <w:kern w:val="36"/>
                <w:szCs w:val="24"/>
                <w:lang w:bidi="hi-IN"/>
              </w:rPr>
              <w:t>生</w:t>
            </w:r>
            <w:r w:rsidR="003A2001" w:rsidRPr="00F441C9">
              <w:rPr>
                <w:rFonts w:ascii="Times New Roman" w:eastAsia="標楷體" w:hAnsi="Times New Roman"/>
                <w:bCs/>
                <w:kern w:val="36"/>
                <w:szCs w:val="24"/>
                <w:lang w:bidi="hi-IN"/>
              </w:rPr>
              <w:t>危及生命或致命</w:t>
            </w:r>
            <w:proofErr w:type="gramStart"/>
            <w:r w:rsidR="003A2001" w:rsidRPr="00F441C9">
              <w:rPr>
                <w:rFonts w:ascii="Times New Roman" w:eastAsia="標楷體" w:hAnsi="Times New Roman"/>
                <w:bCs/>
                <w:kern w:val="36"/>
                <w:szCs w:val="24"/>
                <w:lang w:bidi="hi-IN"/>
              </w:rPr>
              <w:t>酮</w:t>
            </w:r>
            <w:proofErr w:type="gramEnd"/>
            <w:r w:rsidR="003A2001" w:rsidRPr="00F441C9">
              <w:rPr>
                <w:rFonts w:ascii="Times New Roman" w:eastAsia="標楷體" w:hAnsi="Times New Roman"/>
                <w:bCs/>
                <w:kern w:val="36"/>
                <w:szCs w:val="24"/>
                <w:lang w:bidi="hi-IN"/>
              </w:rPr>
              <w:t>酸中毒</w:t>
            </w:r>
            <w:r w:rsidR="0042141C" w:rsidRPr="0042141C">
              <w:rPr>
                <w:rFonts w:ascii="Times New Roman" w:eastAsia="標楷體" w:hAnsi="Times New Roman"/>
                <w:bCs/>
                <w:kern w:val="36"/>
                <w:szCs w:val="24"/>
                <w:lang w:bidi="hi-IN"/>
              </w:rPr>
              <w:t>的</w:t>
            </w:r>
            <w:r w:rsidR="0042141C">
              <w:rPr>
                <w:rFonts w:ascii="Times New Roman" w:eastAsia="標楷體" w:hAnsi="Times New Roman" w:hint="eastAsia"/>
                <w:bCs/>
                <w:kern w:val="36"/>
                <w:szCs w:val="24"/>
                <w:lang w:bidi="hi-IN"/>
              </w:rPr>
              <w:t>上市後</w:t>
            </w:r>
            <w:r w:rsidR="003A2001" w:rsidRPr="00F441C9">
              <w:rPr>
                <w:rFonts w:ascii="Times New Roman" w:eastAsia="標楷體" w:hAnsi="Times New Roman"/>
                <w:bCs/>
                <w:kern w:val="36"/>
                <w:szCs w:val="24"/>
                <w:lang w:bidi="hi-IN"/>
              </w:rPr>
              <w:t>通報案例</w:t>
            </w:r>
            <w:r w:rsidR="00FF22F8">
              <w:rPr>
                <w:rFonts w:ascii="Times New Roman" w:eastAsia="標楷體" w:hAnsi="Times New Roman" w:hint="eastAsia"/>
                <w:szCs w:val="24"/>
              </w:rPr>
              <w:t>，</w:t>
            </w:r>
            <w:r w:rsidR="003A2001">
              <w:rPr>
                <w:rFonts w:ascii="Times New Roman" w:eastAsia="標楷體" w:hAnsi="Times New Roman" w:hint="eastAsia"/>
                <w:szCs w:val="24"/>
              </w:rPr>
              <w:t>其中</w:t>
            </w:r>
            <w:r w:rsidR="00BA0D4F">
              <w:rPr>
                <w:rFonts w:ascii="Times New Roman" w:eastAsia="標楷體" w:hAnsi="Times New Roman" w:hint="eastAsia"/>
                <w:szCs w:val="24"/>
              </w:rPr>
              <w:t>1</w:t>
            </w:r>
            <w:r w:rsidR="00E638EA">
              <w:rPr>
                <w:rFonts w:ascii="Times New Roman" w:eastAsia="標楷體" w:hAnsi="Times New Roman" w:hint="eastAsia"/>
                <w:szCs w:val="24"/>
              </w:rPr>
              <w:t>名</w:t>
            </w:r>
            <w:r w:rsidR="001F5A78">
              <w:rPr>
                <w:rFonts w:ascii="Times New Roman" w:eastAsia="標楷體" w:hAnsi="Times New Roman" w:hint="eastAsia"/>
                <w:szCs w:val="24"/>
              </w:rPr>
              <w:t>病人其第</w:t>
            </w:r>
            <w:r w:rsidR="001F5A78">
              <w:rPr>
                <w:rFonts w:ascii="Times New Roman" w:eastAsia="標楷體" w:hAnsi="Times New Roman" w:hint="eastAsia"/>
                <w:szCs w:val="24"/>
              </w:rPr>
              <w:t>2</w:t>
            </w:r>
            <w:r w:rsidR="001F5A78">
              <w:rPr>
                <w:rFonts w:ascii="Times New Roman" w:eastAsia="標楷體" w:hAnsi="Times New Roman" w:hint="eastAsia"/>
                <w:szCs w:val="24"/>
              </w:rPr>
              <w:t>型糖尿病的病情</w:t>
            </w:r>
            <w:r w:rsidR="001F5A78" w:rsidRPr="00A42091">
              <w:rPr>
                <w:rFonts w:ascii="Times New Roman" w:eastAsia="標楷體" w:hAnsi="Times New Roman" w:hint="eastAsia"/>
                <w:szCs w:val="24"/>
              </w:rPr>
              <w:t>未受控制，同時</w:t>
            </w:r>
            <w:proofErr w:type="gramStart"/>
            <w:r w:rsidR="001F5A78">
              <w:rPr>
                <w:rFonts w:ascii="Times New Roman" w:eastAsia="標楷體" w:hAnsi="Times New Roman" w:hint="eastAsia"/>
                <w:szCs w:val="24"/>
              </w:rPr>
              <w:t>患有</w:t>
            </w:r>
            <w:r w:rsidR="00E638EA">
              <w:rPr>
                <w:rFonts w:ascii="Times New Roman" w:eastAsia="標楷體" w:hAnsi="Times New Roman" w:hint="eastAsia"/>
                <w:szCs w:val="24"/>
              </w:rPr>
              <w:t>腎</w:t>
            </w:r>
            <w:proofErr w:type="gramEnd"/>
            <w:r w:rsidR="00E638EA">
              <w:rPr>
                <w:rFonts w:ascii="Times New Roman" w:eastAsia="標楷體" w:hAnsi="Times New Roman" w:hint="eastAsia"/>
                <w:szCs w:val="24"/>
              </w:rPr>
              <w:t>功能不全</w:t>
            </w:r>
            <w:r w:rsidR="001F5A78">
              <w:rPr>
                <w:rFonts w:ascii="Times New Roman" w:eastAsia="標楷體" w:hAnsi="Times New Roman" w:hint="eastAsia"/>
                <w:szCs w:val="24"/>
              </w:rPr>
              <w:t>，</w:t>
            </w:r>
            <w:r w:rsidR="0042141C">
              <w:rPr>
                <w:rFonts w:ascii="Times New Roman" w:eastAsia="標楷體" w:hAnsi="Times New Roman" w:hint="eastAsia"/>
                <w:kern w:val="0"/>
                <w:szCs w:val="24"/>
              </w:rPr>
              <w:t>在用藥後</w:t>
            </w:r>
            <w:r w:rsidR="00E638EA">
              <w:rPr>
                <w:rFonts w:ascii="Times New Roman" w:eastAsia="標楷體" w:hAnsi="Times New Roman" w:hint="eastAsia"/>
                <w:szCs w:val="24"/>
              </w:rPr>
              <w:t>發生</w:t>
            </w:r>
            <w:proofErr w:type="gramStart"/>
            <w:r w:rsidR="00E638EA">
              <w:rPr>
                <w:rFonts w:ascii="Times New Roman" w:eastAsia="標楷體" w:hAnsi="Times New Roman" w:hint="eastAsia"/>
                <w:szCs w:val="24"/>
              </w:rPr>
              <w:t>酮</w:t>
            </w:r>
            <w:proofErr w:type="gramEnd"/>
            <w:r w:rsidR="00E638EA">
              <w:rPr>
                <w:rFonts w:ascii="Times New Roman" w:eastAsia="標楷體" w:hAnsi="Times New Roman" w:hint="eastAsia"/>
                <w:szCs w:val="24"/>
              </w:rPr>
              <w:t>酸中毒</w:t>
            </w:r>
            <w:r w:rsidR="001F5A78">
              <w:rPr>
                <w:rFonts w:ascii="Times New Roman" w:eastAsia="標楷體" w:hAnsi="Times New Roman" w:hint="eastAsia"/>
                <w:szCs w:val="24"/>
              </w:rPr>
              <w:t>進而</w:t>
            </w:r>
            <w:r w:rsidR="00E638EA">
              <w:rPr>
                <w:rFonts w:ascii="Times New Roman" w:eastAsia="標楷體" w:hAnsi="Times New Roman" w:hint="eastAsia"/>
                <w:szCs w:val="24"/>
              </w:rPr>
              <w:t>死亡</w:t>
            </w:r>
            <w:r w:rsidR="003A2001">
              <w:rPr>
                <w:rFonts w:ascii="Times New Roman" w:eastAsia="標楷體" w:hAnsi="Times New Roman" w:hint="eastAsia"/>
                <w:szCs w:val="24"/>
              </w:rPr>
              <w:t>，</w:t>
            </w:r>
            <w:r w:rsidR="00E638EA">
              <w:rPr>
                <w:rFonts w:ascii="Times New Roman" w:eastAsia="標楷體" w:hAnsi="Times New Roman" w:hint="eastAsia"/>
                <w:szCs w:val="24"/>
              </w:rPr>
              <w:t>另</w:t>
            </w:r>
            <w:r w:rsidR="00BA0D4F">
              <w:rPr>
                <w:rFonts w:ascii="Times New Roman" w:eastAsia="標楷體" w:hAnsi="Times New Roman" w:hint="eastAsia"/>
                <w:szCs w:val="24"/>
              </w:rPr>
              <w:t>1</w:t>
            </w:r>
            <w:r w:rsidR="00E638EA">
              <w:rPr>
                <w:rFonts w:ascii="Times New Roman" w:eastAsia="標楷體" w:hAnsi="Times New Roman" w:hint="eastAsia"/>
                <w:szCs w:val="24"/>
              </w:rPr>
              <w:t>名</w:t>
            </w:r>
            <w:r w:rsidR="001F5A78">
              <w:rPr>
                <w:rFonts w:ascii="Times New Roman" w:eastAsia="標楷體" w:hAnsi="Times New Roman" w:hint="eastAsia"/>
                <w:szCs w:val="24"/>
              </w:rPr>
              <w:t>病人之糖尿病</w:t>
            </w:r>
            <w:r w:rsidR="001F5A78">
              <w:rPr>
                <w:rFonts w:ascii="Times New Roman" w:eastAsia="標楷體" w:hAnsi="Times New Roman" w:hint="eastAsia"/>
                <w:szCs w:val="24"/>
              </w:rPr>
              <w:t xml:space="preserve"> (</w:t>
            </w:r>
            <w:r w:rsidR="001F5A78">
              <w:rPr>
                <w:rFonts w:ascii="Times New Roman" w:eastAsia="標楷體" w:hAnsi="Times New Roman" w:hint="eastAsia"/>
                <w:szCs w:val="24"/>
              </w:rPr>
              <w:t>第</w:t>
            </w:r>
            <w:r w:rsidR="001F5A78">
              <w:rPr>
                <w:rFonts w:ascii="Times New Roman" w:eastAsia="標楷體" w:hAnsi="Times New Roman" w:hint="eastAsia"/>
                <w:szCs w:val="24"/>
              </w:rPr>
              <w:t>2</w:t>
            </w:r>
            <w:r w:rsidR="001F5A78">
              <w:rPr>
                <w:rFonts w:ascii="Times New Roman" w:eastAsia="標楷體" w:hAnsi="Times New Roman" w:hint="eastAsia"/>
                <w:szCs w:val="24"/>
              </w:rPr>
              <w:t>型</w:t>
            </w:r>
            <w:r w:rsidR="001F5A78">
              <w:rPr>
                <w:rFonts w:ascii="Times New Roman" w:eastAsia="標楷體" w:hAnsi="Times New Roman" w:hint="eastAsia"/>
                <w:szCs w:val="24"/>
              </w:rPr>
              <w:t>)</w:t>
            </w:r>
            <w:r w:rsidR="001F5A78">
              <w:rPr>
                <w:rFonts w:ascii="Times New Roman" w:eastAsia="標楷體" w:hAnsi="Times New Roman" w:hint="eastAsia"/>
                <w:szCs w:val="24"/>
              </w:rPr>
              <w:t>雖有接受</w:t>
            </w:r>
            <w:r w:rsidR="00E638EA">
              <w:rPr>
                <w:rFonts w:ascii="Times New Roman" w:eastAsia="標楷體" w:hAnsi="Times New Roman" w:hint="eastAsia"/>
                <w:szCs w:val="24"/>
              </w:rPr>
              <w:t>胰島素治療</w:t>
            </w:r>
            <w:r w:rsidR="001F5A78">
              <w:rPr>
                <w:rFonts w:ascii="Times New Roman" w:eastAsia="標楷體" w:hAnsi="Times New Roman" w:hint="eastAsia"/>
                <w:szCs w:val="24"/>
              </w:rPr>
              <w:t>，</w:t>
            </w:r>
            <w:r w:rsidR="00E97AE0">
              <w:rPr>
                <w:rFonts w:ascii="Times New Roman" w:eastAsia="標楷體" w:hAnsi="Times New Roman" w:hint="eastAsia"/>
                <w:szCs w:val="24"/>
              </w:rPr>
              <w:t>然</w:t>
            </w:r>
            <w:r w:rsidR="009937BF">
              <w:rPr>
                <w:rFonts w:ascii="Times New Roman" w:eastAsia="標楷體" w:hAnsi="Times New Roman" w:hint="eastAsia"/>
                <w:kern w:val="0"/>
                <w:szCs w:val="24"/>
              </w:rPr>
              <w:t>於</w:t>
            </w:r>
            <w:r w:rsidR="00E97AE0">
              <w:rPr>
                <w:rFonts w:ascii="Times New Roman" w:eastAsia="標楷體" w:hAnsi="Times New Roman" w:hint="eastAsia"/>
                <w:kern w:val="0"/>
                <w:szCs w:val="24"/>
              </w:rPr>
              <w:t>使</w:t>
            </w:r>
            <w:r w:rsidR="009937BF">
              <w:rPr>
                <w:rFonts w:ascii="Times New Roman" w:eastAsia="標楷體" w:hAnsi="Times New Roman" w:hint="eastAsia"/>
                <w:kern w:val="0"/>
                <w:szCs w:val="24"/>
              </w:rPr>
              <w:t>用</w:t>
            </w:r>
            <w:proofErr w:type="spellStart"/>
            <w:r w:rsidR="00E97AE0" w:rsidRPr="00F441C9">
              <w:rPr>
                <w:rFonts w:ascii="Times New Roman" w:eastAsia="標楷體" w:hAnsi="Times New Roman"/>
                <w:bCs/>
                <w:kern w:val="36"/>
                <w:szCs w:val="24"/>
                <w:lang w:bidi="hi-IN"/>
              </w:rPr>
              <w:t>inavolisib</w:t>
            </w:r>
            <w:proofErr w:type="spellEnd"/>
            <w:r w:rsidR="009937BF">
              <w:rPr>
                <w:rFonts w:ascii="Times New Roman" w:eastAsia="標楷體" w:hAnsi="Times New Roman" w:hint="eastAsia"/>
                <w:kern w:val="0"/>
                <w:szCs w:val="24"/>
              </w:rPr>
              <w:t>後</w:t>
            </w:r>
            <w:r w:rsidR="001F5A78">
              <w:rPr>
                <w:rFonts w:ascii="Times New Roman" w:eastAsia="標楷體" w:hAnsi="Times New Roman" w:hint="eastAsia"/>
                <w:kern w:val="0"/>
                <w:szCs w:val="24"/>
              </w:rPr>
              <w:t>仍</w:t>
            </w:r>
            <w:r w:rsidR="00E638EA">
              <w:rPr>
                <w:rFonts w:ascii="Times New Roman" w:eastAsia="標楷體" w:hAnsi="Times New Roman" w:hint="eastAsia"/>
                <w:szCs w:val="24"/>
              </w:rPr>
              <w:t>發生</w:t>
            </w:r>
            <w:r w:rsidR="003A2001">
              <w:rPr>
                <w:rFonts w:ascii="Times New Roman" w:eastAsia="標楷體" w:hAnsi="Times New Roman" w:hint="eastAsia"/>
                <w:szCs w:val="24"/>
              </w:rPr>
              <w:t>危及</w:t>
            </w:r>
            <w:proofErr w:type="gramStart"/>
            <w:r w:rsidR="003A2001">
              <w:rPr>
                <w:rFonts w:ascii="Times New Roman" w:eastAsia="標楷體" w:hAnsi="Times New Roman" w:hint="eastAsia"/>
                <w:szCs w:val="24"/>
              </w:rPr>
              <w:t>生命的酮酸中毒</w:t>
            </w:r>
            <w:proofErr w:type="gramEnd"/>
            <w:r>
              <w:rPr>
                <w:rFonts w:ascii="Times New Roman" w:eastAsia="標楷體" w:hAnsi="Times New Roman" w:hint="eastAsia"/>
                <w:szCs w:val="24"/>
              </w:rPr>
              <w:t>。</w:t>
            </w:r>
          </w:p>
          <w:p w14:paraId="640CAA3A" w14:textId="77777777" w:rsidR="009F51D0" w:rsidRDefault="00B33C38" w:rsidP="00AD4368">
            <w:pPr>
              <w:pStyle w:val="a3"/>
              <w:widowControl/>
              <w:numPr>
                <w:ilvl w:val="0"/>
                <w:numId w:val="10"/>
              </w:numPr>
              <w:shd w:val="clear" w:color="auto" w:fill="FFFFFF"/>
              <w:ind w:leftChars="0" w:left="311" w:hanging="311"/>
              <w:jc w:val="both"/>
              <w:rPr>
                <w:rFonts w:ascii="Times New Roman" w:eastAsia="標楷體" w:hAnsi="Times New Roman"/>
                <w:kern w:val="0"/>
                <w:szCs w:val="24"/>
              </w:rPr>
            </w:pPr>
            <w:r>
              <w:rPr>
                <w:rFonts w:ascii="Times New Roman" w:eastAsia="標楷體" w:hAnsi="Times New Roman" w:hint="eastAsia"/>
                <w:szCs w:val="24"/>
              </w:rPr>
              <w:t>加拿大</w:t>
            </w:r>
            <w:r w:rsidRPr="00B33C38">
              <w:rPr>
                <w:rFonts w:ascii="Times New Roman" w:eastAsia="標楷體" w:hAnsi="Times New Roman" w:hint="eastAsia"/>
                <w:kern w:val="0"/>
                <w:szCs w:val="24"/>
              </w:rPr>
              <w:t>Health Canada</w:t>
            </w:r>
            <w:r w:rsidRPr="00B33C38">
              <w:rPr>
                <w:rFonts w:ascii="Times New Roman" w:eastAsia="標楷體" w:hAnsi="Times New Roman" w:hint="eastAsia"/>
                <w:kern w:val="0"/>
                <w:szCs w:val="24"/>
              </w:rPr>
              <w:t>建議醫療人員：</w:t>
            </w:r>
          </w:p>
          <w:p w14:paraId="62AA500A" w14:textId="54C4E6EF" w:rsidR="009F51D0" w:rsidRDefault="00B33C38" w:rsidP="009F51D0">
            <w:pPr>
              <w:pStyle w:val="a3"/>
              <w:widowControl/>
              <w:numPr>
                <w:ilvl w:val="0"/>
                <w:numId w:val="16"/>
              </w:numPr>
              <w:shd w:val="clear" w:color="auto" w:fill="FFFFFF"/>
              <w:ind w:leftChars="0"/>
              <w:jc w:val="both"/>
              <w:rPr>
                <w:rFonts w:ascii="Times New Roman" w:eastAsia="標楷體" w:hAnsi="Times New Roman"/>
                <w:kern w:val="0"/>
                <w:szCs w:val="24"/>
              </w:rPr>
            </w:pPr>
            <w:r w:rsidRPr="00B33C38">
              <w:rPr>
                <w:rFonts w:ascii="Times New Roman" w:eastAsia="標楷體" w:hAnsi="Times New Roman" w:hint="eastAsia"/>
                <w:kern w:val="0"/>
                <w:szCs w:val="24"/>
              </w:rPr>
              <w:t>在病人的血糖值</w:t>
            </w:r>
            <w:r w:rsidR="001F43A0" w:rsidRPr="00B33C38">
              <w:rPr>
                <w:rFonts w:ascii="Times New Roman" w:eastAsia="標楷體" w:hAnsi="Times New Roman" w:hint="eastAsia"/>
                <w:kern w:val="0"/>
                <w:szCs w:val="24"/>
              </w:rPr>
              <w:t>穩定</w:t>
            </w:r>
            <w:r w:rsidR="0086219E">
              <w:rPr>
                <w:rFonts w:ascii="Times New Roman" w:eastAsia="標楷體" w:hAnsi="Times New Roman" w:hint="eastAsia"/>
                <w:kern w:val="0"/>
                <w:szCs w:val="24"/>
              </w:rPr>
              <w:t>且</w:t>
            </w:r>
            <w:r w:rsidR="00216E41" w:rsidRPr="00B33C38">
              <w:rPr>
                <w:rFonts w:ascii="Times New Roman" w:eastAsia="標楷體" w:hAnsi="Times New Roman" w:hint="eastAsia"/>
                <w:kern w:val="0"/>
                <w:szCs w:val="24"/>
              </w:rPr>
              <w:t>控制</w:t>
            </w:r>
            <w:r w:rsidRPr="00B33C38">
              <w:rPr>
                <w:rFonts w:ascii="Times New Roman" w:eastAsia="標楷體" w:hAnsi="Times New Roman" w:hint="eastAsia"/>
                <w:kern w:val="0"/>
                <w:szCs w:val="24"/>
              </w:rPr>
              <w:t>良好前，不應使用</w:t>
            </w:r>
            <w:proofErr w:type="spellStart"/>
            <w:r w:rsidRPr="00B33C38">
              <w:rPr>
                <w:rFonts w:ascii="Times New Roman" w:eastAsia="標楷體" w:hAnsi="Times New Roman" w:hint="eastAsia"/>
                <w:kern w:val="0"/>
                <w:szCs w:val="24"/>
              </w:rPr>
              <w:t>inavolisib</w:t>
            </w:r>
            <w:proofErr w:type="spellEnd"/>
            <w:r w:rsidR="009F51D0">
              <w:rPr>
                <w:rFonts w:ascii="Times New Roman" w:eastAsia="標楷體" w:hAnsi="Times New Roman" w:hint="eastAsia"/>
                <w:kern w:val="0"/>
                <w:szCs w:val="24"/>
              </w:rPr>
              <w:t>。</w:t>
            </w:r>
          </w:p>
          <w:p w14:paraId="7B81D2DB" w14:textId="0A386A1F" w:rsidR="000D5443" w:rsidRDefault="00B33C38" w:rsidP="000D5443">
            <w:pPr>
              <w:pStyle w:val="a3"/>
              <w:widowControl/>
              <w:numPr>
                <w:ilvl w:val="0"/>
                <w:numId w:val="16"/>
              </w:numPr>
              <w:shd w:val="clear" w:color="auto" w:fill="FFFFFF"/>
              <w:ind w:leftChars="0"/>
              <w:jc w:val="both"/>
              <w:rPr>
                <w:rFonts w:ascii="Times New Roman" w:eastAsia="標楷體" w:hAnsi="Times New Roman"/>
                <w:kern w:val="0"/>
                <w:szCs w:val="24"/>
              </w:rPr>
            </w:pPr>
            <w:r w:rsidRPr="00B33C38">
              <w:rPr>
                <w:rFonts w:ascii="Times New Roman" w:eastAsia="標楷體" w:hAnsi="Times New Roman" w:hint="eastAsia"/>
                <w:kern w:val="0"/>
                <w:szCs w:val="24"/>
              </w:rPr>
              <w:t>在</w:t>
            </w:r>
            <w:r w:rsidR="00A42091" w:rsidRPr="00B33C38">
              <w:rPr>
                <w:rFonts w:ascii="Times New Roman" w:eastAsia="標楷體" w:hAnsi="Times New Roman" w:hint="eastAsia"/>
                <w:kern w:val="0"/>
                <w:szCs w:val="24"/>
              </w:rPr>
              <w:t>病人</w:t>
            </w:r>
            <w:r>
              <w:rPr>
                <w:rFonts w:ascii="Times New Roman" w:eastAsia="標楷體" w:hAnsi="Times New Roman" w:hint="eastAsia"/>
                <w:kern w:val="0"/>
                <w:szCs w:val="24"/>
              </w:rPr>
              <w:t>接受</w:t>
            </w:r>
            <w:proofErr w:type="spellStart"/>
            <w:r w:rsidRPr="00B33C38">
              <w:rPr>
                <w:rFonts w:ascii="Times New Roman" w:eastAsia="標楷體" w:hAnsi="Times New Roman" w:hint="eastAsia"/>
                <w:kern w:val="0"/>
                <w:szCs w:val="24"/>
              </w:rPr>
              <w:t>inavolisib</w:t>
            </w:r>
            <w:proofErr w:type="spellEnd"/>
            <w:r>
              <w:rPr>
                <w:rFonts w:ascii="Times New Roman" w:eastAsia="標楷體" w:hAnsi="Times New Roman" w:hint="eastAsia"/>
                <w:kern w:val="0"/>
                <w:szCs w:val="24"/>
              </w:rPr>
              <w:t>治療</w:t>
            </w:r>
            <w:r w:rsidRPr="00B33C38">
              <w:rPr>
                <w:rFonts w:ascii="Times New Roman" w:eastAsia="標楷體" w:hAnsi="Times New Roman" w:hint="eastAsia"/>
                <w:kern w:val="0"/>
                <w:szCs w:val="24"/>
              </w:rPr>
              <w:t>前</w:t>
            </w:r>
            <w:r>
              <w:rPr>
                <w:rFonts w:ascii="Times New Roman" w:eastAsia="標楷體" w:hAnsi="Times New Roman" w:hint="eastAsia"/>
                <w:kern w:val="0"/>
                <w:szCs w:val="24"/>
              </w:rPr>
              <w:t>及</w:t>
            </w:r>
            <w:r w:rsidRPr="00B33C38">
              <w:rPr>
                <w:rFonts w:ascii="Times New Roman" w:eastAsia="標楷體" w:hAnsi="Times New Roman" w:hint="eastAsia"/>
                <w:kern w:val="0"/>
                <w:szCs w:val="24"/>
              </w:rPr>
              <w:t>治療</w:t>
            </w:r>
            <w:proofErr w:type="gramStart"/>
            <w:r w:rsidRPr="00B33C38">
              <w:rPr>
                <w:rFonts w:ascii="Times New Roman" w:eastAsia="標楷體" w:hAnsi="Times New Roman" w:hint="eastAsia"/>
                <w:kern w:val="0"/>
                <w:szCs w:val="24"/>
              </w:rPr>
              <w:t>期間，</w:t>
            </w:r>
            <w:proofErr w:type="gramEnd"/>
            <w:r w:rsidRPr="00B33C38">
              <w:rPr>
                <w:rFonts w:ascii="Times New Roman" w:eastAsia="標楷體" w:hAnsi="Times New Roman" w:hint="eastAsia"/>
                <w:kern w:val="0"/>
                <w:szCs w:val="24"/>
              </w:rPr>
              <w:t>皆應</w:t>
            </w:r>
            <w:r w:rsidR="00A42091">
              <w:rPr>
                <w:rFonts w:ascii="Times New Roman" w:eastAsia="標楷體" w:hAnsi="Times New Roman" w:hint="eastAsia"/>
                <w:kern w:val="0"/>
                <w:szCs w:val="24"/>
              </w:rPr>
              <w:t>監</w:t>
            </w:r>
            <w:r w:rsidRPr="00B33C38">
              <w:rPr>
                <w:rFonts w:ascii="Times New Roman" w:eastAsia="標楷體" w:hAnsi="Times New Roman" w:hint="eastAsia"/>
                <w:kern w:val="0"/>
                <w:szCs w:val="24"/>
              </w:rPr>
              <w:t>測空腹血糖</w:t>
            </w:r>
            <w:r w:rsidR="00A42091">
              <w:rPr>
                <w:rFonts w:ascii="Times New Roman" w:eastAsia="標楷體" w:hAnsi="Times New Roman" w:hint="eastAsia"/>
                <w:kern w:val="0"/>
                <w:szCs w:val="24"/>
              </w:rPr>
              <w:t>及</w:t>
            </w:r>
            <w:r w:rsidRPr="00B33C38">
              <w:rPr>
                <w:rFonts w:ascii="Times New Roman" w:eastAsia="標楷體" w:hAnsi="Times New Roman" w:hint="eastAsia"/>
                <w:kern w:val="0"/>
                <w:szCs w:val="24"/>
              </w:rPr>
              <w:t>糖化血色素</w:t>
            </w:r>
            <w:r w:rsidRPr="00B33C38">
              <w:rPr>
                <w:rFonts w:ascii="Times New Roman" w:eastAsia="標楷體" w:hAnsi="Times New Roman" w:hint="eastAsia"/>
                <w:kern w:val="0"/>
                <w:szCs w:val="24"/>
              </w:rPr>
              <w:t>(HbA1c)</w:t>
            </w:r>
            <w:r w:rsidRPr="00B33C38">
              <w:rPr>
                <w:rFonts w:ascii="Times New Roman" w:eastAsia="標楷體" w:hAnsi="Times New Roman" w:hint="eastAsia"/>
                <w:kern w:val="0"/>
                <w:szCs w:val="24"/>
              </w:rPr>
              <w:t>；</w:t>
            </w:r>
            <w:r w:rsidR="00965E75">
              <w:rPr>
                <w:rFonts w:ascii="Times New Roman" w:eastAsia="標楷體" w:hAnsi="Times New Roman" w:hint="eastAsia"/>
                <w:kern w:val="0"/>
                <w:szCs w:val="24"/>
              </w:rPr>
              <w:t>有</w:t>
            </w:r>
            <w:r w:rsidR="0063209D">
              <w:rPr>
                <w:rFonts w:ascii="Times New Roman" w:eastAsia="標楷體" w:hAnsi="Times New Roman" w:hint="eastAsia"/>
                <w:kern w:val="0"/>
                <w:szCs w:val="24"/>
              </w:rPr>
              <w:t>第二型糖尿病</w:t>
            </w:r>
            <w:proofErr w:type="gramStart"/>
            <w:r w:rsidR="0063209D">
              <w:rPr>
                <w:rFonts w:ascii="Times New Roman" w:eastAsia="標楷體" w:hAnsi="Times New Roman" w:hint="eastAsia"/>
                <w:kern w:val="0"/>
                <w:szCs w:val="24"/>
              </w:rPr>
              <w:t>病史</w:t>
            </w:r>
            <w:r w:rsidR="00965E75">
              <w:rPr>
                <w:rFonts w:ascii="Times New Roman" w:eastAsia="標楷體" w:hAnsi="Times New Roman" w:hint="eastAsia"/>
                <w:kern w:val="0"/>
                <w:szCs w:val="24"/>
              </w:rPr>
              <w:t>且控制</w:t>
            </w:r>
            <w:proofErr w:type="gramEnd"/>
            <w:r w:rsidR="00965E75">
              <w:rPr>
                <w:rFonts w:ascii="Times New Roman" w:eastAsia="標楷體" w:hAnsi="Times New Roman" w:hint="eastAsia"/>
                <w:kern w:val="0"/>
                <w:szCs w:val="24"/>
              </w:rPr>
              <w:t>良好，</w:t>
            </w:r>
            <w:r w:rsidR="00AC120D" w:rsidRPr="00AF3D0C">
              <w:rPr>
                <w:rFonts w:ascii="Times New Roman" w:eastAsia="標楷體" w:hAnsi="Times New Roman" w:hint="eastAsia"/>
                <w:kern w:val="0"/>
                <w:szCs w:val="24"/>
              </w:rPr>
              <w:t>或</w:t>
            </w:r>
            <w:r w:rsidR="00965E75">
              <w:rPr>
                <w:rFonts w:ascii="Times New Roman" w:eastAsia="標楷體" w:hAnsi="Times New Roman" w:hint="eastAsia"/>
                <w:kern w:val="0"/>
                <w:szCs w:val="24"/>
              </w:rPr>
              <w:t>是</w:t>
            </w:r>
            <w:r w:rsidR="00AC120D" w:rsidRPr="00AF3D0C">
              <w:rPr>
                <w:rFonts w:ascii="Times New Roman" w:eastAsia="標楷體" w:hAnsi="Times New Roman" w:hint="eastAsia"/>
                <w:kern w:val="0"/>
                <w:szCs w:val="24"/>
              </w:rPr>
              <w:t>需</w:t>
            </w:r>
            <w:r w:rsidR="00AC120D">
              <w:rPr>
                <w:rFonts w:ascii="Times New Roman" w:eastAsia="標楷體" w:hAnsi="Times New Roman" w:hint="eastAsia"/>
                <w:kern w:val="0"/>
                <w:szCs w:val="24"/>
              </w:rPr>
              <w:t>要</w:t>
            </w:r>
            <w:r w:rsidR="00AC120D" w:rsidRPr="00AF3D0C">
              <w:rPr>
                <w:rFonts w:ascii="Times New Roman" w:eastAsia="標楷體" w:hAnsi="Times New Roman" w:hint="eastAsia"/>
                <w:kern w:val="0"/>
                <w:szCs w:val="24"/>
              </w:rPr>
              <w:t>加強血糖控制</w:t>
            </w:r>
            <w:r w:rsidRPr="00B33C38">
              <w:rPr>
                <w:rFonts w:ascii="Times New Roman" w:eastAsia="標楷體" w:hAnsi="Times New Roman" w:hint="eastAsia"/>
                <w:kern w:val="0"/>
                <w:szCs w:val="24"/>
              </w:rPr>
              <w:t>的病人，應</w:t>
            </w:r>
            <w:r>
              <w:rPr>
                <w:rFonts w:ascii="Times New Roman" w:eastAsia="標楷體" w:hAnsi="Times New Roman" w:hint="eastAsia"/>
                <w:kern w:val="0"/>
                <w:szCs w:val="24"/>
              </w:rPr>
              <w:t>視</w:t>
            </w:r>
            <w:r w:rsidRPr="00B33C38">
              <w:rPr>
                <w:rFonts w:ascii="Times New Roman" w:eastAsia="標楷體" w:hAnsi="Times New Roman" w:hint="eastAsia"/>
                <w:kern w:val="0"/>
                <w:szCs w:val="24"/>
              </w:rPr>
              <w:t>臨床需求更頻繁</w:t>
            </w:r>
            <w:r>
              <w:rPr>
                <w:rFonts w:ascii="Times New Roman" w:eastAsia="標楷體" w:hAnsi="Times New Roman" w:hint="eastAsia"/>
                <w:kern w:val="0"/>
                <w:szCs w:val="24"/>
              </w:rPr>
              <w:t>地</w:t>
            </w:r>
            <w:r w:rsidRPr="00B33C38">
              <w:rPr>
                <w:rFonts w:ascii="Times New Roman" w:eastAsia="標楷體" w:hAnsi="Times New Roman" w:hint="eastAsia"/>
                <w:kern w:val="0"/>
                <w:szCs w:val="24"/>
              </w:rPr>
              <w:t>監測或自我監測空腹血糖值</w:t>
            </w:r>
            <w:r>
              <w:rPr>
                <w:rFonts w:ascii="Times New Roman" w:eastAsia="標楷體" w:hAnsi="Times New Roman" w:hint="eastAsia"/>
                <w:kern w:val="0"/>
                <w:szCs w:val="24"/>
              </w:rPr>
              <w:t>。</w:t>
            </w:r>
          </w:p>
          <w:p w14:paraId="37155812" w14:textId="17A6B45E" w:rsidR="00B33C38" w:rsidRPr="00AD4368" w:rsidRDefault="00B33C38" w:rsidP="009F51D0">
            <w:pPr>
              <w:pStyle w:val="a3"/>
              <w:widowControl/>
              <w:numPr>
                <w:ilvl w:val="0"/>
                <w:numId w:val="10"/>
              </w:numPr>
              <w:shd w:val="clear" w:color="auto" w:fill="FFFFFF"/>
              <w:ind w:leftChars="0" w:left="311" w:hanging="311"/>
              <w:jc w:val="both"/>
              <w:rPr>
                <w:rFonts w:ascii="Times New Roman" w:eastAsia="標楷體" w:hAnsi="Times New Roman"/>
                <w:kern w:val="0"/>
                <w:szCs w:val="24"/>
              </w:rPr>
            </w:pPr>
            <w:proofErr w:type="gramStart"/>
            <w:r>
              <w:rPr>
                <w:rFonts w:ascii="Times New Roman" w:eastAsia="標楷體" w:hAnsi="Times New Roman" w:hint="eastAsia"/>
                <w:kern w:val="0"/>
                <w:szCs w:val="24"/>
              </w:rPr>
              <w:t>此外，</w:t>
            </w:r>
            <w:proofErr w:type="gramEnd"/>
            <w:r w:rsidRPr="00B33C38">
              <w:rPr>
                <w:rFonts w:ascii="Times New Roman" w:eastAsia="標楷體" w:hAnsi="Times New Roman" w:hint="eastAsia"/>
                <w:kern w:val="0"/>
                <w:szCs w:val="24"/>
              </w:rPr>
              <w:t>加拿大</w:t>
            </w:r>
            <w:proofErr w:type="spellStart"/>
            <w:r w:rsidRPr="009F51D0">
              <w:rPr>
                <w:rFonts w:ascii="Times New Roman" w:eastAsia="標楷體" w:hAnsi="Times New Roman" w:hint="eastAsia"/>
                <w:szCs w:val="24"/>
              </w:rPr>
              <w:t>inavolisib</w:t>
            </w:r>
            <w:proofErr w:type="spellEnd"/>
            <w:r>
              <w:rPr>
                <w:rFonts w:ascii="Times New Roman" w:eastAsia="標楷體" w:hAnsi="Times New Roman" w:hint="eastAsia"/>
                <w:kern w:val="0"/>
                <w:szCs w:val="24"/>
              </w:rPr>
              <w:t>之</w:t>
            </w:r>
            <w:r w:rsidRPr="00B33C38">
              <w:rPr>
                <w:rFonts w:ascii="Times New Roman" w:eastAsia="標楷體" w:hAnsi="Times New Roman" w:hint="eastAsia"/>
                <w:kern w:val="0"/>
                <w:szCs w:val="24"/>
              </w:rPr>
              <w:t>仿單已更新</w:t>
            </w:r>
            <w:r w:rsidR="00C369F5">
              <w:rPr>
                <w:rFonts w:ascii="Times New Roman" w:eastAsia="標楷體" w:hAnsi="Times New Roman" w:hint="eastAsia"/>
                <w:kern w:val="0"/>
                <w:szCs w:val="24"/>
              </w:rPr>
              <w:t>，</w:t>
            </w:r>
            <w:r w:rsidRPr="00B33C38">
              <w:rPr>
                <w:rFonts w:ascii="Times New Roman" w:eastAsia="標楷體" w:hAnsi="Times New Roman" w:hint="eastAsia"/>
                <w:kern w:val="0"/>
                <w:szCs w:val="24"/>
              </w:rPr>
              <w:t>以</w:t>
            </w:r>
            <w:r w:rsidR="00B618F9">
              <w:rPr>
                <w:rFonts w:ascii="Times New Roman" w:eastAsia="標楷體" w:hAnsi="Times New Roman" w:hint="eastAsia"/>
                <w:kern w:val="0"/>
                <w:szCs w:val="24"/>
              </w:rPr>
              <w:t>納入</w:t>
            </w:r>
            <w:proofErr w:type="gramStart"/>
            <w:r w:rsidR="00953F51">
              <w:rPr>
                <w:rFonts w:ascii="Times New Roman" w:eastAsia="標楷體" w:hAnsi="Times New Roman" w:hint="eastAsia"/>
                <w:kern w:val="0"/>
                <w:szCs w:val="24"/>
              </w:rPr>
              <w:t>酮</w:t>
            </w:r>
            <w:proofErr w:type="gramEnd"/>
            <w:r w:rsidR="00953F51">
              <w:rPr>
                <w:rFonts w:ascii="Times New Roman" w:eastAsia="標楷體" w:hAnsi="Times New Roman" w:hint="eastAsia"/>
                <w:kern w:val="0"/>
                <w:szCs w:val="24"/>
              </w:rPr>
              <w:t>酸中毒</w:t>
            </w:r>
            <w:r w:rsidR="00B618F9">
              <w:rPr>
                <w:rFonts w:ascii="Times New Roman" w:eastAsia="標楷體" w:hAnsi="Times New Roman" w:hint="eastAsia"/>
                <w:kern w:val="0"/>
                <w:szCs w:val="24"/>
              </w:rPr>
              <w:t>相關警語及安全性資訊</w:t>
            </w:r>
            <w:r w:rsidRPr="00B33C38">
              <w:rPr>
                <w:rFonts w:ascii="Times New Roman" w:eastAsia="標楷體" w:hAnsi="Times New Roman" w:hint="eastAsia"/>
                <w:kern w:val="0"/>
                <w:szCs w:val="24"/>
              </w:rPr>
              <w:t>。</w:t>
            </w:r>
          </w:p>
        </w:tc>
      </w:tr>
      <w:tr w:rsidR="00AD4368" w:rsidRPr="00F441C9" w14:paraId="6767FBE0" w14:textId="77777777" w:rsidTr="005E40E5">
        <w:trPr>
          <w:trHeight w:val="12181"/>
          <w:jc w:val="center"/>
        </w:trPr>
        <w:tc>
          <w:tcPr>
            <w:tcW w:w="2413" w:type="dxa"/>
            <w:vAlign w:val="center"/>
          </w:tcPr>
          <w:p w14:paraId="1D5BA4CF" w14:textId="77777777" w:rsidR="00AD4368" w:rsidRDefault="00AD4368" w:rsidP="00AD4368">
            <w:pPr>
              <w:jc w:val="center"/>
              <w:rPr>
                <w:rFonts w:ascii="Times New Roman" w:eastAsia="標楷體" w:hAnsi="Times New Roman"/>
                <w:szCs w:val="24"/>
              </w:rPr>
            </w:pPr>
            <w:r>
              <w:rPr>
                <w:rFonts w:ascii="Times New Roman" w:eastAsia="標楷體" w:hAnsi="Times New Roman" w:hint="eastAsia"/>
                <w:szCs w:val="24"/>
              </w:rPr>
              <w:lastRenderedPageBreak/>
              <w:t>食品藥物管理署</w:t>
            </w:r>
          </w:p>
          <w:p w14:paraId="2EBA7635" w14:textId="5FCE6D58" w:rsidR="00AD4368" w:rsidRPr="00F441C9" w:rsidRDefault="00AD4368" w:rsidP="00AD4368">
            <w:pPr>
              <w:jc w:val="center"/>
              <w:rPr>
                <w:rFonts w:ascii="Times New Roman" w:eastAsia="標楷體" w:hAnsi="Times New Roman"/>
              </w:rPr>
            </w:pPr>
            <w:r>
              <w:rPr>
                <w:rFonts w:ascii="Times New Roman" w:eastAsia="標楷體" w:hAnsi="Times New Roman" w:hint="eastAsia"/>
                <w:szCs w:val="24"/>
              </w:rPr>
              <w:t>風險溝通說明</w:t>
            </w:r>
          </w:p>
        </w:tc>
        <w:tc>
          <w:tcPr>
            <w:tcW w:w="7316" w:type="dxa"/>
          </w:tcPr>
          <w:p w14:paraId="656C159B" w14:textId="3D1C7C33" w:rsidR="00AD4368" w:rsidRDefault="00B725D9" w:rsidP="005E40E5">
            <w:pPr>
              <w:widowControl/>
              <w:numPr>
                <w:ilvl w:val="0"/>
                <w:numId w:val="1"/>
              </w:numPr>
              <w:ind w:hanging="482"/>
              <w:jc w:val="both"/>
              <w:rPr>
                <w:rFonts w:ascii="Times New Roman" w:eastAsia="標楷體" w:hAnsi="Times New Roman"/>
                <w:b/>
                <w:bCs/>
                <w:kern w:val="0"/>
                <w:szCs w:val="24"/>
                <w:u w:val="single"/>
              </w:rPr>
            </w:pPr>
            <w:r w:rsidRPr="00A11EAC">
              <w:rPr>
                <w:rFonts w:ascii="Times New Roman" w:eastAsia="標楷體" w:hAnsi="Times New Roman" w:hint="eastAsia"/>
                <w:b/>
                <w:color w:val="222222"/>
                <w:kern w:val="0"/>
                <w:szCs w:val="24"/>
                <w:u w:val="single"/>
              </w:rPr>
              <w:t>食品藥物管理署</w:t>
            </w:r>
            <w:r w:rsidRPr="00A11EAC">
              <w:rPr>
                <w:rFonts w:ascii="Times New Roman" w:eastAsia="標楷體" w:hAnsi="Times New Roman" w:hint="eastAsia"/>
                <w:b/>
                <w:color w:val="222222"/>
                <w:kern w:val="0"/>
                <w:szCs w:val="24"/>
              </w:rPr>
              <w:t>說明：</w:t>
            </w:r>
          </w:p>
          <w:p w14:paraId="7485A445" w14:textId="353E0B9E" w:rsidR="004F0389" w:rsidRPr="004F0389" w:rsidRDefault="004F0389" w:rsidP="005E40E5">
            <w:pPr>
              <w:pStyle w:val="a3"/>
              <w:widowControl/>
              <w:numPr>
                <w:ilvl w:val="0"/>
                <w:numId w:val="12"/>
              </w:numPr>
              <w:ind w:leftChars="2" w:left="487" w:hanging="482"/>
              <w:jc w:val="both"/>
              <w:rPr>
                <w:rFonts w:ascii="Times New Roman" w:eastAsia="標楷體" w:hAnsi="Times New Roman"/>
                <w:kern w:val="0"/>
                <w:szCs w:val="24"/>
              </w:rPr>
            </w:pPr>
            <w:r w:rsidRPr="004F0389">
              <w:rPr>
                <w:rFonts w:ascii="Times New Roman" w:eastAsia="標楷體" w:hAnsi="Times New Roman" w:hint="eastAsia"/>
                <w:kern w:val="0"/>
                <w:szCs w:val="24"/>
              </w:rPr>
              <w:t>經查，我國核准含</w:t>
            </w:r>
            <w:proofErr w:type="spellStart"/>
            <w:r w:rsidRPr="004F0389">
              <w:rPr>
                <w:rFonts w:ascii="Times New Roman" w:eastAsia="標楷體" w:hAnsi="Times New Roman" w:hint="eastAsia"/>
                <w:kern w:val="0"/>
                <w:szCs w:val="24"/>
              </w:rPr>
              <w:t>inavolisib</w:t>
            </w:r>
            <w:proofErr w:type="spellEnd"/>
            <w:r w:rsidRPr="004F0389">
              <w:rPr>
                <w:rFonts w:ascii="Times New Roman" w:eastAsia="標楷體" w:hAnsi="Times New Roman" w:hint="eastAsia"/>
                <w:kern w:val="0"/>
                <w:szCs w:val="24"/>
              </w:rPr>
              <w:t>成分藥品許可證共</w:t>
            </w:r>
            <w:r w:rsidRPr="004F0389">
              <w:rPr>
                <w:rFonts w:ascii="Times New Roman" w:eastAsia="標楷體" w:hAnsi="Times New Roman" w:hint="eastAsia"/>
                <w:kern w:val="0"/>
                <w:szCs w:val="24"/>
              </w:rPr>
              <w:t>2</w:t>
            </w:r>
            <w:r w:rsidRPr="004F0389">
              <w:rPr>
                <w:rFonts w:ascii="Times New Roman" w:eastAsia="標楷體" w:hAnsi="Times New Roman" w:hint="eastAsia"/>
                <w:kern w:val="0"/>
                <w:szCs w:val="24"/>
              </w:rPr>
              <w:t>張</w:t>
            </w:r>
            <w:r w:rsidR="00A503DA">
              <w:rPr>
                <w:rFonts w:ascii="Times New Roman" w:eastAsia="標楷體" w:hAnsi="Times New Roman" w:hint="eastAsia"/>
                <w:kern w:val="0"/>
                <w:szCs w:val="24"/>
              </w:rPr>
              <w:t>，為</w:t>
            </w:r>
            <w:proofErr w:type="spellStart"/>
            <w:r w:rsidR="00582D6F" w:rsidRPr="00582D6F">
              <w:rPr>
                <w:rFonts w:ascii="Times New Roman" w:eastAsia="標楷體" w:hAnsi="Times New Roman"/>
                <w:kern w:val="0"/>
                <w:szCs w:val="24"/>
              </w:rPr>
              <w:t>Itovebi</w:t>
            </w:r>
            <w:proofErr w:type="spellEnd"/>
            <w:r w:rsidR="00582D6F" w:rsidRPr="005230B9">
              <w:rPr>
                <w:rFonts w:ascii="Times New Roman" w:eastAsia="標楷體" w:hAnsi="Times New Roman"/>
                <w:bCs/>
                <w:kern w:val="36"/>
                <w:szCs w:val="24"/>
                <w:vertAlign w:val="superscript"/>
                <w:lang w:bidi="hi-IN"/>
              </w:rPr>
              <w:t>®</w:t>
            </w:r>
            <w:r w:rsidR="00582D6F" w:rsidRPr="00582D6F">
              <w:rPr>
                <w:rFonts w:ascii="Times New Roman" w:eastAsia="標楷體" w:hAnsi="Times New Roman"/>
                <w:kern w:val="0"/>
                <w:szCs w:val="24"/>
              </w:rPr>
              <w:t xml:space="preserve"> 3 mg</w:t>
            </w:r>
            <w:r w:rsidR="00582D6F">
              <w:rPr>
                <w:rFonts w:ascii="Times New Roman" w:eastAsia="標楷體" w:hAnsi="Times New Roman" w:hint="eastAsia"/>
                <w:kern w:val="0"/>
                <w:szCs w:val="24"/>
              </w:rPr>
              <w:t>及</w:t>
            </w:r>
            <w:r w:rsidR="00582D6F">
              <w:rPr>
                <w:rFonts w:ascii="Times New Roman" w:eastAsia="標楷體" w:hAnsi="Times New Roman" w:hint="eastAsia"/>
                <w:kern w:val="0"/>
                <w:szCs w:val="24"/>
              </w:rPr>
              <w:t xml:space="preserve">9 </w:t>
            </w:r>
            <w:r w:rsidR="00582D6F" w:rsidRPr="00582D6F">
              <w:rPr>
                <w:rFonts w:ascii="Times New Roman" w:eastAsia="標楷體" w:hAnsi="Times New Roman"/>
                <w:kern w:val="0"/>
                <w:szCs w:val="24"/>
              </w:rPr>
              <w:t>mg</w:t>
            </w:r>
            <w:r w:rsidRPr="004F0389">
              <w:rPr>
                <w:rFonts w:ascii="Times New Roman" w:eastAsia="標楷體" w:hAnsi="Times New Roman" w:hint="eastAsia"/>
                <w:kern w:val="0"/>
                <w:szCs w:val="24"/>
              </w:rPr>
              <w:t>，其仿單已刊載</w:t>
            </w:r>
            <w:r w:rsidR="0046036E">
              <w:rPr>
                <w:rFonts w:ascii="Times New Roman" w:eastAsia="標楷體" w:hAnsi="Times New Roman" w:hint="eastAsia"/>
                <w:kern w:val="0"/>
                <w:szCs w:val="24"/>
              </w:rPr>
              <w:t>導致</w:t>
            </w:r>
            <w:r w:rsidRPr="004F0389">
              <w:rPr>
                <w:rFonts w:ascii="Times New Roman" w:eastAsia="標楷體" w:hAnsi="Times New Roman" w:hint="eastAsia"/>
                <w:kern w:val="0"/>
                <w:szCs w:val="24"/>
              </w:rPr>
              <w:t>高血糖和危及</w:t>
            </w:r>
            <w:proofErr w:type="gramStart"/>
            <w:r w:rsidRPr="004F0389">
              <w:rPr>
                <w:rFonts w:ascii="Times New Roman" w:eastAsia="標楷體" w:hAnsi="Times New Roman" w:hint="eastAsia"/>
                <w:kern w:val="0"/>
                <w:szCs w:val="24"/>
              </w:rPr>
              <w:t>生命的酮酸中毒</w:t>
            </w:r>
            <w:proofErr w:type="gramEnd"/>
            <w:r w:rsidRPr="004F0389">
              <w:rPr>
                <w:rFonts w:ascii="Times New Roman" w:eastAsia="標楷體" w:hAnsi="Times New Roman" w:hint="eastAsia"/>
                <w:kern w:val="0"/>
                <w:szCs w:val="24"/>
              </w:rPr>
              <w:t>風險</w:t>
            </w:r>
            <w:r w:rsidR="00765378">
              <w:rPr>
                <w:rFonts w:ascii="Times New Roman" w:eastAsia="標楷體" w:hAnsi="Times New Roman" w:hint="eastAsia"/>
                <w:kern w:val="0"/>
                <w:szCs w:val="24"/>
              </w:rPr>
              <w:t>及其風險管控措施</w:t>
            </w:r>
            <w:r w:rsidR="005F2C0F">
              <w:rPr>
                <w:rFonts w:ascii="Times New Roman" w:eastAsia="標楷體" w:hAnsi="Times New Roman" w:hint="eastAsia"/>
                <w:kern w:val="0"/>
                <w:szCs w:val="24"/>
              </w:rPr>
              <w:t>，摘要</w:t>
            </w:r>
            <w:r w:rsidRPr="004F0389">
              <w:rPr>
                <w:rFonts w:ascii="Times New Roman" w:eastAsia="標楷體" w:hAnsi="Times New Roman" w:hint="eastAsia"/>
                <w:kern w:val="0"/>
                <w:szCs w:val="24"/>
              </w:rPr>
              <w:t>如下：</w:t>
            </w:r>
          </w:p>
          <w:p w14:paraId="45FBD337" w14:textId="0CA3496A" w:rsidR="004F0389" w:rsidRDefault="004F0389" w:rsidP="005E40E5">
            <w:pPr>
              <w:pStyle w:val="a3"/>
              <w:widowControl/>
              <w:numPr>
                <w:ilvl w:val="0"/>
                <w:numId w:val="13"/>
              </w:numPr>
              <w:ind w:leftChars="0" w:hanging="482"/>
              <w:jc w:val="both"/>
              <w:rPr>
                <w:rFonts w:ascii="Times New Roman" w:eastAsia="標楷體" w:hAnsi="Times New Roman"/>
                <w:kern w:val="0"/>
                <w:szCs w:val="24"/>
              </w:rPr>
            </w:pPr>
            <w:r w:rsidRPr="004F0389">
              <w:rPr>
                <w:rFonts w:ascii="Times New Roman" w:eastAsia="標楷體" w:hAnsi="Times New Roman" w:hint="eastAsia"/>
                <w:kern w:val="0"/>
                <w:szCs w:val="24"/>
              </w:rPr>
              <w:t>於「用法及用量」處：刊載「高血糖症</w:t>
            </w:r>
            <w:r w:rsidRPr="004F0389">
              <w:rPr>
                <w:rFonts w:ascii="Times New Roman" w:eastAsia="標楷體" w:hAnsi="Times New Roman" w:hint="eastAsia"/>
                <w:kern w:val="0"/>
                <w:szCs w:val="24"/>
              </w:rPr>
              <w:t>-</w:t>
            </w:r>
            <w:r w:rsidRPr="004F0389">
              <w:rPr>
                <w:rFonts w:ascii="Times New Roman" w:eastAsia="標楷體" w:hAnsi="Times New Roman" w:hint="eastAsia"/>
                <w:kern w:val="0"/>
                <w:szCs w:val="24"/>
              </w:rPr>
              <w:t>開始使用</w:t>
            </w:r>
            <w:proofErr w:type="spellStart"/>
            <w:r w:rsidRPr="004F0389">
              <w:rPr>
                <w:rFonts w:ascii="Times New Roman" w:eastAsia="標楷體" w:hAnsi="Times New Roman" w:hint="eastAsia"/>
                <w:kern w:val="0"/>
                <w:szCs w:val="24"/>
              </w:rPr>
              <w:t>Itovebi</w:t>
            </w:r>
            <w:proofErr w:type="spellEnd"/>
            <w:r w:rsidRPr="004F0389">
              <w:rPr>
                <w:rFonts w:ascii="Times New Roman" w:eastAsia="標楷體" w:hAnsi="Times New Roman" w:hint="eastAsia"/>
                <w:kern w:val="0"/>
                <w:szCs w:val="24"/>
              </w:rPr>
              <w:t>治療前，應檢測空腹血漿葡萄糖</w:t>
            </w:r>
            <w:r w:rsidRPr="004F0389">
              <w:rPr>
                <w:rFonts w:ascii="Times New Roman" w:eastAsia="標楷體" w:hAnsi="Times New Roman" w:hint="eastAsia"/>
                <w:kern w:val="0"/>
                <w:szCs w:val="24"/>
              </w:rPr>
              <w:t>/</w:t>
            </w:r>
            <w:r w:rsidRPr="004F0389">
              <w:rPr>
                <w:rFonts w:ascii="Times New Roman" w:eastAsia="標楷體" w:hAnsi="Times New Roman" w:hint="eastAsia"/>
                <w:kern w:val="0"/>
                <w:szCs w:val="24"/>
              </w:rPr>
              <w:t>空腹血糖和</w:t>
            </w:r>
            <w:r w:rsidRPr="004F0389">
              <w:rPr>
                <w:rFonts w:ascii="Times New Roman" w:eastAsia="標楷體" w:hAnsi="Times New Roman" w:hint="eastAsia"/>
                <w:kern w:val="0"/>
                <w:szCs w:val="24"/>
              </w:rPr>
              <w:t>HbA1</w:t>
            </w:r>
            <w:r w:rsidR="00563813" w:rsidRPr="004F0389">
              <w:rPr>
                <w:rFonts w:ascii="Times New Roman" w:eastAsia="標楷體" w:hAnsi="Times New Roman"/>
                <w:kern w:val="0"/>
                <w:szCs w:val="24"/>
              </w:rPr>
              <w:t>c</w:t>
            </w:r>
            <w:r w:rsidRPr="004F0389">
              <w:rPr>
                <w:rFonts w:ascii="Times New Roman" w:eastAsia="標楷體" w:hAnsi="Times New Roman" w:hint="eastAsia"/>
                <w:kern w:val="0"/>
                <w:szCs w:val="24"/>
              </w:rPr>
              <w:t>數值，且所有病人的空腹血糖</w:t>
            </w:r>
            <w:proofErr w:type="gramStart"/>
            <w:r w:rsidRPr="004F0389">
              <w:rPr>
                <w:rFonts w:ascii="Times New Roman" w:eastAsia="標楷體" w:hAnsi="Times New Roman" w:hint="eastAsia"/>
                <w:kern w:val="0"/>
                <w:szCs w:val="24"/>
              </w:rPr>
              <w:t>值均應達到</w:t>
            </w:r>
            <w:proofErr w:type="gramEnd"/>
            <w:r w:rsidRPr="004F0389">
              <w:rPr>
                <w:rFonts w:ascii="Times New Roman" w:eastAsia="標楷體" w:hAnsi="Times New Roman" w:hint="eastAsia"/>
                <w:kern w:val="0"/>
                <w:szCs w:val="24"/>
              </w:rPr>
              <w:t>最佳化再開始服藥</w:t>
            </w:r>
            <w:r w:rsidR="006A7847">
              <w:rPr>
                <w:rFonts w:ascii="Times New Roman" w:eastAsia="標楷體" w:hAnsi="Times New Roman" w:hint="eastAsia"/>
                <w:kern w:val="0"/>
                <w:szCs w:val="24"/>
              </w:rPr>
              <w:t>。</w:t>
            </w:r>
            <w:r w:rsidR="006A7847" w:rsidRPr="006A7847">
              <w:rPr>
                <w:rFonts w:ascii="Times New Roman" w:eastAsia="標楷體" w:hAnsi="Times New Roman" w:hint="eastAsia"/>
                <w:kern w:val="0"/>
                <w:szCs w:val="24"/>
              </w:rPr>
              <w:t>開始</w:t>
            </w:r>
            <w:r w:rsidR="006A7847">
              <w:rPr>
                <w:rFonts w:ascii="Times New Roman" w:eastAsia="標楷體" w:hAnsi="Times New Roman" w:hint="eastAsia"/>
                <w:kern w:val="0"/>
                <w:szCs w:val="24"/>
              </w:rPr>
              <w:t>使用</w:t>
            </w:r>
            <w:proofErr w:type="spellStart"/>
            <w:r w:rsidR="006A7847" w:rsidRPr="006A7847">
              <w:rPr>
                <w:rFonts w:ascii="Times New Roman" w:eastAsia="標楷體" w:hAnsi="Times New Roman"/>
                <w:kern w:val="0"/>
                <w:szCs w:val="24"/>
              </w:rPr>
              <w:t>Itovebi</w:t>
            </w:r>
            <w:proofErr w:type="spellEnd"/>
            <w:r w:rsidR="006A7847" w:rsidRPr="006A7847">
              <w:rPr>
                <w:rFonts w:ascii="Times New Roman" w:eastAsia="標楷體" w:hAnsi="Times New Roman" w:hint="eastAsia"/>
                <w:kern w:val="0"/>
                <w:szCs w:val="24"/>
              </w:rPr>
              <w:t>治療前，先評估</w:t>
            </w:r>
            <w:r w:rsidR="006A7847">
              <w:rPr>
                <w:rFonts w:ascii="Times New Roman" w:eastAsia="標楷體" w:hAnsi="Times New Roman" w:hint="eastAsia"/>
                <w:kern w:val="0"/>
                <w:szCs w:val="24"/>
              </w:rPr>
              <w:t>病人</w:t>
            </w:r>
            <w:r w:rsidR="006A7847" w:rsidRPr="006A7847">
              <w:rPr>
                <w:rFonts w:ascii="標楷體" w:eastAsia="標楷體" w:hAnsi="標楷體" w:cs="標楷體" w:hint="eastAsia"/>
                <w:kern w:val="0"/>
                <w:szCs w:val="24"/>
              </w:rPr>
              <w:t>是否有腎功能不全</w:t>
            </w:r>
            <w:r w:rsidRPr="004F0389">
              <w:rPr>
                <w:rFonts w:ascii="Times New Roman" w:eastAsia="標楷體" w:hAnsi="Times New Roman" w:hint="eastAsia"/>
                <w:kern w:val="0"/>
                <w:szCs w:val="24"/>
              </w:rPr>
              <w:t>」及「表</w:t>
            </w:r>
            <w:r w:rsidRPr="004F0389">
              <w:rPr>
                <w:rFonts w:ascii="Times New Roman" w:eastAsia="標楷體" w:hAnsi="Times New Roman" w:hint="eastAsia"/>
                <w:kern w:val="0"/>
                <w:szCs w:val="24"/>
              </w:rPr>
              <w:t xml:space="preserve">2 </w:t>
            </w:r>
            <w:r w:rsidRPr="004F0389">
              <w:rPr>
                <w:rFonts w:ascii="Times New Roman" w:eastAsia="標楷體" w:hAnsi="Times New Roman" w:hint="eastAsia"/>
                <w:kern w:val="0"/>
                <w:szCs w:val="24"/>
              </w:rPr>
              <w:t>發生高血糖症的劑量調整和處置」等相關安全性資訊。</w:t>
            </w:r>
          </w:p>
          <w:p w14:paraId="68E2D166" w14:textId="107B83E1" w:rsidR="004F0389" w:rsidRDefault="004F0389" w:rsidP="005E40E5">
            <w:pPr>
              <w:pStyle w:val="a3"/>
              <w:widowControl/>
              <w:numPr>
                <w:ilvl w:val="0"/>
                <w:numId w:val="13"/>
              </w:numPr>
              <w:ind w:leftChars="0" w:hanging="482"/>
              <w:jc w:val="both"/>
              <w:rPr>
                <w:rFonts w:ascii="Times New Roman" w:eastAsia="標楷體" w:hAnsi="Times New Roman"/>
                <w:kern w:val="0"/>
                <w:szCs w:val="24"/>
              </w:rPr>
            </w:pPr>
            <w:r w:rsidRPr="004F0389">
              <w:rPr>
                <w:rFonts w:ascii="Times New Roman" w:eastAsia="標楷體" w:hAnsi="Times New Roman" w:hint="eastAsia"/>
                <w:kern w:val="0"/>
                <w:szCs w:val="24"/>
              </w:rPr>
              <w:t>於「警語及注意事項」處：刊載「高血糖症</w:t>
            </w:r>
            <w:r w:rsidRPr="004F0389">
              <w:rPr>
                <w:rFonts w:ascii="Times New Roman" w:eastAsia="標楷體" w:hAnsi="Times New Roman" w:hint="eastAsia"/>
                <w:kern w:val="0"/>
                <w:szCs w:val="24"/>
              </w:rPr>
              <w:t>-</w:t>
            </w:r>
            <w:r w:rsidRPr="004F0389">
              <w:rPr>
                <w:rFonts w:ascii="Times New Roman" w:eastAsia="標楷體" w:hAnsi="Times New Roman" w:hint="eastAsia"/>
                <w:kern w:val="0"/>
                <w:szCs w:val="24"/>
              </w:rPr>
              <w:t>使用</w:t>
            </w:r>
            <w:proofErr w:type="spellStart"/>
            <w:r w:rsidRPr="004F0389">
              <w:rPr>
                <w:rFonts w:ascii="Times New Roman" w:eastAsia="標楷體" w:hAnsi="Times New Roman" w:hint="eastAsia"/>
                <w:kern w:val="0"/>
                <w:szCs w:val="24"/>
              </w:rPr>
              <w:t>Itovebi</w:t>
            </w:r>
            <w:proofErr w:type="spellEnd"/>
            <w:r w:rsidRPr="004F0389">
              <w:rPr>
                <w:rFonts w:ascii="Times New Roman" w:eastAsia="標楷體" w:hAnsi="Times New Roman" w:hint="eastAsia"/>
                <w:kern w:val="0"/>
                <w:szCs w:val="24"/>
              </w:rPr>
              <w:t>治療的病人中曾有高血糖症的嚴重案例通報，包括危及</w:t>
            </w:r>
            <w:proofErr w:type="gramStart"/>
            <w:r w:rsidRPr="004F0389">
              <w:rPr>
                <w:rFonts w:ascii="Times New Roman" w:eastAsia="標楷體" w:hAnsi="Times New Roman" w:hint="eastAsia"/>
                <w:kern w:val="0"/>
                <w:szCs w:val="24"/>
              </w:rPr>
              <w:t>生命的酮酸中毒</w:t>
            </w:r>
            <w:proofErr w:type="gramEnd"/>
            <w:r w:rsidRPr="004F0389">
              <w:rPr>
                <w:rFonts w:ascii="Times New Roman" w:eastAsia="標楷體" w:hAnsi="Times New Roman" w:hint="eastAsia"/>
                <w:kern w:val="0"/>
                <w:szCs w:val="24"/>
              </w:rPr>
              <w:t>等併發症」</w:t>
            </w:r>
            <w:r w:rsidR="00A32B7A">
              <w:rPr>
                <w:rFonts w:ascii="Times New Roman" w:eastAsia="標楷體" w:hAnsi="Times New Roman" w:hint="eastAsia"/>
                <w:kern w:val="0"/>
                <w:szCs w:val="24"/>
              </w:rPr>
              <w:t>、「</w:t>
            </w:r>
            <w:r w:rsidR="00A32B7A" w:rsidRPr="00A32B7A">
              <w:rPr>
                <w:rFonts w:ascii="Times New Roman" w:eastAsia="標楷體" w:hAnsi="Times New Roman" w:hint="eastAsia"/>
                <w:kern w:val="0"/>
                <w:szCs w:val="24"/>
              </w:rPr>
              <w:t>有</w:t>
            </w:r>
            <w:r w:rsidR="00A32B7A">
              <w:rPr>
                <w:rFonts w:ascii="Times New Roman" w:eastAsia="標楷體" w:hAnsi="Times New Roman" w:hint="eastAsia"/>
                <w:kern w:val="0"/>
                <w:szCs w:val="24"/>
              </w:rPr>
              <w:t>第二</w:t>
            </w:r>
            <w:r w:rsidR="00A32B7A" w:rsidRPr="00A32B7A">
              <w:rPr>
                <w:rFonts w:ascii="標楷體" w:eastAsia="標楷體" w:hAnsi="標楷體" w:cs="標楷體" w:hint="eastAsia"/>
                <w:kern w:val="0"/>
                <w:szCs w:val="24"/>
              </w:rPr>
              <w:t>型糖尿病</w:t>
            </w:r>
            <w:proofErr w:type="gramStart"/>
            <w:r w:rsidR="00A32B7A" w:rsidRPr="00A32B7A">
              <w:rPr>
                <w:rFonts w:ascii="標楷體" w:eastAsia="標楷體" w:hAnsi="標楷體" w:cs="標楷體" w:hint="eastAsia"/>
                <w:kern w:val="0"/>
                <w:szCs w:val="24"/>
              </w:rPr>
              <w:t>病史且控制</w:t>
            </w:r>
            <w:proofErr w:type="gramEnd"/>
            <w:r w:rsidR="00A32B7A" w:rsidRPr="00A32B7A">
              <w:rPr>
                <w:rFonts w:ascii="標楷體" w:eastAsia="標楷體" w:hAnsi="標楷體" w:cs="標楷體" w:hint="eastAsia"/>
                <w:kern w:val="0"/>
                <w:szCs w:val="24"/>
              </w:rPr>
              <w:t>良好的</w:t>
            </w:r>
            <w:r w:rsidR="00A32B7A">
              <w:rPr>
                <w:rFonts w:ascii="標楷體" w:eastAsia="標楷體" w:hAnsi="標楷體" w:cs="標楷體" w:hint="eastAsia"/>
                <w:kern w:val="0"/>
                <w:szCs w:val="24"/>
              </w:rPr>
              <w:t>病人</w:t>
            </w:r>
            <w:r w:rsidR="00A32B7A" w:rsidRPr="00A32B7A">
              <w:rPr>
                <w:rFonts w:ascii="標楷體" w:eastAsia="標楷體" w:hAnsi="標楷體" w:cs="標楷體" w:hint="eastAsia"/>
                <w:kern w:val="0"/>
                <w:szCs w:val="24"/>
              </w:rPr>
              <w:t>，可能需要視臨床</w:t>
            </w:r>
            <w:r w:rsidR="00A32B7A">
              <w:rPr>
                <w:rFonts w:ascii="標楷體" w:eastAsia="標楷體" w:hAnsi="標楷體" w:cs="標楷體" w:hint="eastAsia"/>
                <w:kern w:val="0"/>
                <w:szCs w:val="24"/>
              </w:rPr>
              <w:t>指示</w:t>
            </w:r>
            <w:r w:rsidR="00A32B7A" w:rsidRPr="00A32B7A">
              <w:rPr>
                <w:rFonts w:ascii="標楷體" w:eastAsia="標楷體" w:hAnsi="標楷體" w:cs="標楷體" w:hint="eastAsia"/>
                <w:kern w:val="0"/>
                <w:szCs w:val="24"/>
              </w:rPr>
              <w:t>加強</w:t>
            </w:r>
            <w:r w:rsidR="00A32B7A">
              <w:rPr>
                <w:rFonts w:ascii="標楷體" w:eastAsia="標楷體" w:hAnsi="標楷體" w:cs="標楷體" w:hint="eastAsia"/>
                <w:kern w:val="0"/>
                <w:szCs w:val="24"/>
              </w:rPr>
              <w:t>降血</w:t>
            </w:r>
            <w:r w:rsidR="00A32B7A" w:rsidRPr="00A32B7A">
              <w:rPr>
                <w:rFonts w:ascii="標楷體" w:eastAsia="標楷體" w:hAnsi="標楷體" w:cs="標楷體" w:hint="eastAsia"/>
                <w:kern w:val="0"/>
                <w:szCs w:val="24"/>
              </w:rPr>
              <w:t>糖藥</w:t>
            </w:r>
            <w:r w:rsidR="00A32B7A" w:rsidRPr="00A32B7A">
              <w:rPr>
                <w:rFonts w:ascii="Times New Roman" w:eastAsia="標楷體" w:hAnsi="Times New Roman" w:hint="eastAsia"/>
                <w:kern w:val="0"/>
                <w:szCs w:val="24"/>
              </w:rPr>
              <w:t>物治療和密切監測空</w:t>
            </w:r>
            <w:r w:rsidR="00A32B7A">
              <w:rPr>
                <w:rFonts w:ascii="Times New Roman" w:eastAsia="標楷體" w:hAnsi="Times New Roman" w:hint="eastAsia"/>
                <w:kern w:val="0"/>
                <w:szCs w:val="24"/>
              </w:rPr>
              <w:t>腹血</w:t>
            </w:r>
            <w:r w:rsidR="00A32B7A" w:rsidRPr="00A32B7A">
              <w:rPr>
                <w:rFonts w:ascii="標楷體" w:eastAsia="標楷體" w:hAnsi="標楷體" w:cs="標楷體" w:hint="eastAsia"/>
                <w:kern w:val="0"/>
                <w:szCs w:val="24"/>
              </w:rPr>
              <w:t>糖。在</w:t>
            </w:r>
            <w:r w:rsidR="00A32B7A" w:rsidRPr="00A32B7A">
              <w:rPr>
                <w:rFonts w:ascii="Times New Roman" w:eastAsia="標楷體" w:hAnsi="Times New Roman" w:hint="eastAsia"/>
                <w:kern w:val="0"/>
                <w:szCs w:val="24"/>
              </w:rPr>
              <w:t>空</w:t>
            </w:r>
            <w:r w:rsidR="00A32B7A">
              <w:rPr>
                <w:rFonts w:ascii="Times New Roman" w:eastAsia="標楷體" w:hAnsi="Times New Roman" w:hint="eastAsia"/>
                <w:kern w:val="0"/>
                <w:szCs w:val="24"/>
              </w:rPr>
              <w:t>腹血</w:t>
            </w:r>
            <w:r w:rsidR="00A32B7A" w:rsidRPr="00A32B7A">
              <w:rPr>
                <w:rFonts w:ascii="標楷體" w:eastAsia="標楷體" w:hAnsi="標楷體" w:cs="標楷體" w:hint="eastAsia"/>
                <w:kern w:val="0"/>
                <w:szCs w:val="24"/>
              </w:rPr>
              <w:t>糖達到</w:t>
            </w:r>
            <w:proofErr w:type="gramStart"/>
            <w:r w:rsidR="00A32B7A" w:rsidRPr="00A32B7A">
              <w:rPr>
                <w:rFonts w:ascii="標楷體" w:eastAsia="標楷體" w:hAnsi="標楷體" w:cs="標楷體" w:hint="eastAsia"/>
                <w:kern w:val="0"/>
                <w:szCs w:val="24"/>
              </w:rPr>
              <w:t>最佳值</w:t>
            </w:r>
            <w:proofErr w:type="gramEnd"/>
            <w:r w:rsidR="00A32B7A" w:rsidRPr="00A32B7A">
              <w:rPr>
                <w:rFonts w:ascii="標楷體" w:eastAsia="標楷體" w:hAnsi="標楷體" w:cs="標楷體" w:hint="eastAsia"/>
                <w:kern w:val="0"/>
                <w:szCs w:val="24"/>
              </w:rPr>
              <w:t>之前，不應</w:t>
            </w:r>
            <w:r w:rsidR="00A32B7A">
              <w:rPr>
                <w:rFonts w:ascii="標楷體" w:eastAsia="標楷體" w:hAnsi="標楷體" w:cs="標楷體" w:hint="eastAsia"/>
                <w:kern w:val="0"/>
                <w:szCs w:val="24"/>
              </w:rPr>
              <w:t>使用</w:t>
            </w:r>
            <w:proofErr w:type="spellStart"/>
            <w:r w:rsidR="00A32B7A" w:rsidRPr="00A32B7A">
              <w:rPr>
                <w:rFonts w:ascii="Times New Roman" w:eastAsia="標楷體" w:hAnsi="Times New Roman"/>
                <w:kern w:val="0"/>
                <w:szCs w:val="24"/>
              </w:rPr>
              <w:t>Itovebi</w:t>
            </w:r>
            <w:proofErr w:type="spellEnd"/>
            <w:r w:rsidR="00A32B7A">
              <w:rPr>
                <w:rFonts w:ascii="Times New Roman" w:eastAsia="標楷體" w:hAnsi="Times New Roman" w:hint="eastAsia"/>
                <w:kern w:val="0"/>
                <w:szCs w:val="24"/>
              </w:rPr>
              <w:t>」</w:t>
            </w:r>
            <w:r w:rsidR="005F2C0F">
              <w:rPr>
                <w:rFonts w:ascii="Times New Roman" w:eastAsia="標楷體" w:hAnsi="Times New Roman" w:hint="eastAsia"/>
                <w:kern w:val="0"/>
                <w:szCs w:val="24"/>
              </w:rPr>
              <w:t>及「</w:t>
            </w:r>
            <w:r w:rsidR="005F2C0F" w:rsidRPr="005F2C0F">
              <w:rPr>
                <w:rFonts w:ascii="Times New Roman" w:eastAsia="標楷體" w:hAnsi="Times New Roman" w:hint="eastAsia"/>
                <w:kern w:val="0"/>
                <w:szCs w:val="24"/>
              </w:rPr>
              <w:t>在</w:t>
            </w:r>
            <w:r w:rsidR="005F2C0F">
              <w:rPr>
                <w:rFonts w:ascii="Times New Roman" w:eastAsia="標楷體" w:hAnsi="Times New Roman" w:hint="eastAsia"/>
                <w:kern w:val="0"/>
                <w:szCs w:val="24"/>
              </w:rPr>
              <w:t>有高血</w:t>
            </w:r>
            <w:r w:rsidR="005F2C0F" w:rsidRPr="005F2C0F">
              <w:rPr>
                <w:rFonts w:ascii="標楷體" w:eastAsia="標楷體" w:hAnsi="標楷體" w:cs="標楷體" w:hint="eastAsia"/>
                <w:kern w:val="0"/>
                <w:szCs w:val="24"/>
              </w:rPr>
              <w:t>糖症風險</w:t>
            </w:r>
            <w:r w:rsidR="005F2C0F">
              <w:rPr>
                <w:rFonts w:ascii="標楷體" w:eastAsia="標楷體" w:hAnsi="標楷體" w:cs="標楷體" w:hint="eastAsia"/>
                <w:kern w:val="0"/>
                <w:szCs w:val="24"/>
              </w:rPr>
              <w:t>因子</w:t>
            </w:r>
            <w:r w:rsidR="005F2C0F" w:rsidRPr="005F2C0F">
              <w:rPr>
                <w:rFonts w:ascii="標楷體" w:eastAsia="標楷體" w:hAnsi="標楷體" w:cs="標楷體" w:hint="eastAsia"/>
                <w:kern w:val="0"/>
                <w:szCs w:val="24"/>
              </w:rPr>
              <w:t>的</w:t>
            </w:r>
            <w:r w:rsidR="00844919">
              <w:rPr>
                <w:rFonts w:ascii="標楷體" w:eastAsia="標楷體" w:hAnsi="標楷體" w:cs="標楷體" w:hint="eastAsia"/>
                <w:kern w:val="0"/>
                <w:szCs w:val="24"/>
              </w:rPr>
              <w:t>病人</w:t>
            </w:r>
            <w:r w:rsidR="005F2C0F" w:rsidRPr="005F2C0F">
              <w:rPr>
                <w:rFonts w:ascii="標楷體" w:eastAsia="標楷體" w:hAnsi="標楷體" w:cs="標楷體" w:hint="eastAsia"/>
                <w:kern w:val="0"/>
                <w:szCs w:val="24"/>
              </w:rPr>
              <w:t>中，包括但不限於：糖尿病</w:t>
            </w:r>
            <w:r w:rsidR="005F2C0F" w:rsidRPr="005F2C0F">
              <w:rPr>
                <w:rFonts w:ascii="Times New Roman" w:eastAsia="標楷體" w:hAnsi="Times New Roman"/>
                <w:kern w:val="0"/>
                <w:szCs w:val="24"/>
              </w:rPr>
              <w:t>(</w:t>
            </w:r>
            <w:r w:rsidR="005F2C0F" w:rsidRPr="005F2C0F">
              <w:rPr>
                <w:rFonts w:ascii="Times New Roman" w:eastAsia="標楷體" w:hAnsi="Times New Roman" w:hint="eastAsia"/>
                <w:kern w:val="0"/>
                <w:szCs w:val="24"/>
              </w:rPr>
              <w:t>前期</w:t>
            </w:r>
            <w:r w:rsidR="005F2C0F" w:rsidRPr="005F2C0F">
              <w:rPr>
                <w:rFonts w:ascii="Times New Roman" w:eastAsia="標楷體" w:hAnsi="Times New Roman"/>
                <w:kern w:val="0"/>
                <w:szCs w:val="24"/>
              </w:rPr>
              <w:t>)</w:t>
            </w:r>
            <w:r w:rsidR="005F2C0F" w:rsidRPr="005F2C0F">
              <w:rPr>
                <w:rFonts w:ascii="Times New Roman" w:eastAsia="標楷體" w:hAnsi="Times New Roman" w:hint="eastAsia"/>
                <w:kern w:val="0"/>
                <w:szCs w:val="24"/>
              </w:rPr>
              <w:t>、</w:t>
            </w:r>
            <w:r w:rsidR="005F2C0F" w:rsidRPr="005F2C0F">
              <w:rPr>
                <w:rFonts w:ascii="Times New Roman" w:eastAsia="標楷體" w:hAnsi="Times New Roman"/>
                <w:kern w:val="0"/>
                <w:szCs w:val="24"/>
              </w:rPr>
              <w:t>HbA1</w:t>
            </w:r>
            <w:r w:rsidR="00563813">
              <w:rPr>
                <w:rFonts w:ascii="Times New Roman" w:eastAsia="標楷體" w:hAnsi="Times New Roman" w:hint="eastAsia"/>
                <w:kern w:val="0"/>
                <w:szCs w:val="24"/>
              </w:rPr>
              <w:t>c</w:t>
            </w:r>
            <w:r w:rsidR="005F2C0F" w:rsidRPr="005F2C0F">
              <w:rPr>
                <w:rFonts w:ascii="Times New Roman" w:eastAsia="標楷體" w:hAnsi="Times New Roman"/>
                <w:kern w:val="0"/>
                <w:szCs w:val="24"/>
              </w:rPr>
              <w:t xml:space="preserve"> ≥ 5.7%</w:t>
            </w:r>
            <w:r w:rsidR="005F2C0F" w:rsidRPr="005F2C0F">
              <w:rPr>
                <w:rFonts w:ascii="Times New Roman" w:eastAsia="標楷體" w:hAnsi="Times New Roman" w:hint="eastAsia"/>
                <w:kern w:val="0"/>
                <w:szCs w:val="24"/>
              </w:rPr>
              <w:t>、</w:t>
            </w:r>
            <w:r w:rsidR="005F2C0F" w:rsidRPr="005F2C0F">
              <w:rPr>
                <w:rFonts w:ascii="Times New Roman" w:eastAsia="標楷體" w:hAnsi="Times New Roman"/>
                <w:kern w:val="0"/>
                <w:szCs w:val="24"/>
              </w:rPr>
              <w:t>BMI ≥ 30 kg/m</w:t>
            </w:r>
            <w:r w:rsidR="005F2C0F" w:rsidRPr="00A66E8F">
              <w:rPr>
                <w:rFonts w:ascii="Times New Roman" w:eastAsia="標楷體" w:hAnsi="Times New Roman"/>
                <w:kern w:val="0"/>
                <w:szCs w:val="24"/>
                <w:vertAlign w:val="superscript"/>
              </w:rPr>
              <w:t>2</w:t>
            </w:r>
            <w:r w:rsidR="005F2C0F" w:rsidRPr="005F2C0F">
              <w:rPr>
                <w:rFonts w:ascii="Times New Roman" w:eastAsia="標楷體" w:hAnsi="Times New Roman" w:hint="eastAsia"/>
                <w:kern w:val="0"/>
                <w:szCs w:val="24"/>
              </w:rPr>
              <w:t>、年齡</w:t>
            </w:r>
            <w:r w:rsidR="005F2C0F" w:rsidRPr="005F2C0F">
              <w:rPr>
                <w:rFonts w:ascii="Times New Roman" w:eastAsia="標楷體" w:hAnsi="Times New Roman"/>
                <w:kern w:val="0"/>
                <w:szCs w:val="24"/>
              </w:rPr>
              <w:t>≥ 45</w:t>
            </w:r>
            <w:r w:rsidR="005F2C0F" w:rsidRPr="005F2C0F">
              <w:rPr>
                <w:rFonts w:ascii="Times New Roman" w:eastAsia="標楷體" w:hAnsi="Times New Roman" w:hint="eastAsia"/>
                <w:kern w:val="0"/>
                <w:szCs w:val="24"/>
              </w:rPr>
              <w:t>歲、妊娠期糖尿病的病史和糖尿病的家族病史，應視臨床</w:t>
            </w:r>
            <w:r w:rsidR="00A66E8F">
              <w:rPr>
                <w:rFonts w:ascii="Times New Roman" w:eastAsia="標楷體" w:hAnsi="Times New Roman" w:hint="eastAsia"/>
                <w:kern w:val="0"/>
                <w:szCs w:val="24"/>
              </w:rPr>
              <w:t>指示</w:t>
            </w:r>
            <w:r w:rsidR="005F2C0F" w:rsidRPr="005F2C0F">
              <w:rPr>
                <w:rFonts w:ascii="標楷體" w:eastAsia="標楷體" w:hAnsi="標楷體" w:cs="標楷體" w:hint="eastAsia"/>
                <w:kern w:val="0"/>
                <w:szCs w:val="24"/>
              </w:rPr>
              <w:t>更頻繁地監測</w:t>
            </w:r>
            <w:r w:rsidR="00A66E8F">
              <w:rPr>
                <w:rFonts w:ascii="標楷體" w:eastAsia="標楷體" w:hAnsi="標楷體" w:cs="標楷體" w:hint="eastAsia"/>
                <w:kern w:val="0"/>
                <w:szCs w:val="24"/>
              </w:rPr>
              <w:t>或自</w:t>
            </w:r>
            <w:r w:rsidR="005F2C0F" w:rsidRPr="005F2C0F">
              <w:rPr>
                <w:rFonts w:ascii="標楷體" w:eastAsia="標楷體" w:hAnsi="標楷體" w:cs="標楷體" w:hint="eastAsia"/>
                <w:kern w:val="0"/>
                <w:szCs w:val="24"/>
              </w:rPr>
              <w:t>我監測空</w:t>
            </w:r>
            <w:r w:rsidR="00A66E8F">
              <w:rPr>
                <w:rFonts w:ascii="標楷體" w:eastAsia="標楷體" w:hAnsi="標楷體" w:cs="標楷體" w:hint="eastAsia"/>
                <w:kern w:val="0"/>
                <w:szCs w:val="24"/>
              </w:rPr>
              <w:t>腹血</w:t>
            </w:r>
            <w:r w:rsidR="005F2C0F" w:rsidRPr="005F2C0F">
              <w:rPr>
                <w:rFonts w:ascii="標楷體" w:eastAsia="標楷體" w:hAnsi="標楷體" w:cs="標楷體" w:hint="eastAsia"/>
                <w:kern w:val="0"/>
                <w:szCs w:val="24"/>
              </w:rPr>
              <w:t>糖值。應視需要開始</w:t>
            </w:r>
            <w:r w:rsidR="00A66E8F">
              <w:rPr>
                <w:rFonts w:ascii="標楷體" w:eastAsia="標楷體" w:hAnsi="標楷體" w:cs="標楷體" w:hint="eastAsia"/>
                <w:kern w:val="0"/>
                <w:szCs w:val="24"/>
              </w:rPr>
              <w:t>使用</w:t>
            </w:r>
            <w:r w:rsidR="005F2C0F" w:rsidRPr="005F2C0F">
              <w:rPr>
                <w:rFonts w:ascii="標楷體" w:eastAsia="標楷體" w:hAnsi="標楷體" w:cs="標楷體" w:hint="eastAsia"/>
                <w:kern w:val="0"/>
                <w:szCs w:val="24"/>
              </w:rPr>
              <w:t>或調整</w:t>
            </w:r>
            <w:r w:rsidR="00A66E8F">
              <w:rPr>
                <w:rFonts w:ascii="標楷體" w:eastAsia="標楷體" w:hAnsi="標楷體" w:cs="標楷體" w:hint="eastAsia"/>
                <w:kern w:val="0"/>
                <w:szCs w:val="24"/>
              </w:rPr>
              <w:t>降血</w:t>
            </w:r>
            <w:r w:rsidR="005F2C0F" w:rsidRPr="005F2C0F">
              <w:rPr>
                <w:rFonts w:ascii="標楷體" w:eastAsia="標楷體" w:hAnsi="標楷體" w:cs="標楷體" w:hint="eastAsia"/>
                <w:kern w:val="0"/>
                <w:szCs w:val="24"/>
              </w:rPr>
              <w:t>糖藥物治療</w:t>
            </w:r>
            <w:r w:rsidR="005F2C0F">
              <w:rPr>
                <w:rFonts w:ascii="Times New Roman" w:eastAsia="標楷體" w:hAnsi="Times New Roman" w:hint="eastAsia"/>
                <w:kern w:val="0"/>
                <w:szCs w:val="24"/>
              </w:rPr>
              <w:t>」</w:t>
            </w:r>
            <w:r w:rsidRPr="004F0389">
              <w:rPr>
                <w:rFonts w:ascii="Times New Roman" w:eastAsia="標楷體" w:hAnsi="Times New Roman" w:hint="eastAsia"/>
                <w:kern w:val="0"/>
                <w:szCs w:val="24"/>
              </w:rPr>
              <w:t>等相關安全性資訊。</w:t>
            </w:r>
          </w:p>
          <w:p w14:paraId="60882FE3" w14:textId="222511F5" w:rsidR="004F0389" w:rsidRPr="009C0406" w:rsidRDefault="004F0389" w:rsidP="005E40E5">
            <w:pPr>
              <w:pStyle w:val="a3"/>
              <w:widowControl/>
              <w:numPr>
                <w:ilvl w:val="0"/>
                <w:numId w:val="13"/>
              </w:numPr>
              <w:ind w:leftChars="0" w:hanging="482"/>
              <w:jc w:val="both"/>
              <w:rPr>
                <w:rFonts w:ascii="Times New Roman" w:eastAsia="標楷體" w:hAnsi="Times New Roman"/>
                <w:kern w:val="0"/>
                <w:szCs w:val="24"/>
              </w:rPr>
            </w:pPr>
            <w:r w:rsidRPr="009C0406">
              <w:rPr>
                <w:rFonts w:ascii="Times New Roman" w:eastAsia="標楷體" w:hAnsi="Times New Roman" w:hint="eastAsia"/>
                <w:kern w:val="0"/>
                <w:szCs w:val="24"/>
              </w:rPr>
              <w:t>於「副作用</w:t>
            </w:r>
            <w:r w:rsidRPr="009C0406">
              <w:rPr>
                <w:rFonts w:ascii="Times New Roman" w:eastAsia="標楷體" w:hAnsi="Times New Roman" w:hint="eastAsia"/>
                <w:kern w:val="0"/>
                <w:szCs w:val="24"/>
              </w:rPr>
              <w:t>/</w:t>
            </w:r>
            <w:r w:rsidRPr="009C0406">
              <w:rPr>
                <w:rFonts w:ascii="Times New Roman" w:eastAsia="標楷體" w:hAnsi="Times New Roman" w:hint="eastAsia"/>
                <w:kern w:val="0"/>
                <w:szCs w:val="24"/>
              </w:rPr>
              <w:t>不良反應」處：刊載「酮酸中毒</w:t>
            </w:r>
            <w:r w:rsidR="00363608">
              <w:rPr>
                <w:rFonts w:ascii="Times New Roman" w:eastAsia="標楷體" w:hAnsi="Times New Roman" w:hint="eastAsia"/>
                <w:kern w:val="0"/>
                <w:szCs w:val="24"/>
              </w:rPr>
              <w:t xml:space="preserve"> </w:t>
            </w:r>
            <w:r w:rsidRPr="009C0406">
              <w:rPr>
                <w:rFonts w:ascii="Times New Roman" w:eastAsia="標楷體" w:hAnsi="Times New Roman" w:hint="eastAsia"/>
                <w:kern w:val="0"/>
                <w:szCs w:val="24"/>
              </w:rPr>
              <w:t>(</w:t>
            </w:r>
            <w:r w:rsidRPr="009C0406">
              <w:rPr>
                <w:rFonts w:ascii="Times New Roman" w:eastAsia="標楷體" w:hAnsi="Times New Roman" w:hint="eastAsia"/>
                <w:kern w:val="0"/>
                <w:szCs w:val="24"/>
              </w:rPr>
              <w:t>發生頻率罕見</w:t>
            </w:r>
            <w:r w:rsidRPr="009C0406">
              <w:rPr>
                <w:rFonts w:ascii="Times New Roman" w:eastAsia="標楷體" w:hAnsi="Times New Roman" w:hint="eastAsia"/>
                <w:kern w:val="0"/>
                <w:szCs w:val="24"/>
              </w:rPr>
              <w:t>)</w:t>
            </w:r>
            <w:r w:rsidRPr="009C0406">
              <w:rPr>
                <w:rFonts w:ascii="Times New Roman" w:eastAsia="標楷體" w:hAnsi="Times New Roman" w:hint="eastAsia"/>
                <w:kern w:val="0"/>
                <w:szCs w:val="24"/>
              </w:rPr>
              <w:t>」等相關安全性資訊。</w:t>
            </w:r>
          </w:p>
          <w:p w14:paraId="6BD67537" w14:textId="4AD420B2" w:rsidR="00AD4368" w:rsidRPr="00563813" w:rsidRDefault="004F0389" w:rsidP="00563813">
            <w:pPr>
              <w:pStyle w:val="a3"/>
              <w:widowControl/>
              <w:numPr>
                <w:ilvl w:val="0"/>
                <w:numId w:val="12"/>
              </w:numPr>
              <w:ind w:leftChars="2" w:left="487" w:hanging="482"/>
              <w:jc w:val="both"/>
              <w:rPr>
                <w:rFonts w:ascii="Times New Roman" w:eastAsia="標楷體" w:hAnsi="Times New Roman"/>
                <w:kern w:val="0"/>
                <w:szCs w:val="24"/>
              </w:rPr>
            </w:pPr>
            <w:r w:rsidRPr="004F0389">
              <w:rPr>
                <w:rFonts w:ascii="Times New Roman" w:eastAsia="標楷體" w:hAnsi="Times New Roman" w:hint="eastAsia"/>
                <w:kern w:val="0"/>
                <w:szCs w:val="24"/>
              </w:rPr>
              <w:t>為確保民眾用藥安全，</w:t>
            </w:r>
            <w:proofErr w:type="gramStart"/>
            <w:r w:rsidRPr="004F0389">
              <w:rPr>
                <w:rFonts w:ascii="Times New Roman" w:eastAsia="標楷體" w:hAnsi="Times New Roman" w:hint="eastAsia"/>
                <w:kern w:val="0"/>
                <w:szCs w:val="24"/>
              </w:rPr>
              <w:t>本署發布</w:t>
            </w:r>
            <w:proofErr w:type="gramEnd"/>
            <w:r w:rsidR="00563813">
              <w:rPr>
                <w:rFonts w:ascii="Times New Roman" w:eastAsia="標楷體" w:hAnsi="Times New Roman" w:hint="eastAsia"/>
                <w:kern w:val="0"/>
                <w:szCs w:val="24"/>
              </w:rPr>
              <w:t>本</w:t>
            </w:r>
            <w:r w:rsidRPr="00563813">
              <w:rPr>
                <w:rFonts w:ascii="Times New Roman" w:eastAsia="標楷體" w:hAnsi="Times New Roman" w:hint="eastAsia"/>
                <w:kern w:val="0"/>
                <w:szCs w:val="24"/>
              </w:rPr>
              <w:t>風險溝通表提醒醫療人員及民眾注意</w:t>
            </w:r>
            <w:proofErr w:type="spellStart"/>
            <w:r w:rsidR="00030D56" w:rsidRPr="00563813">
              <w:rPr>
                <w:rFonts w:ascii="Times New Roman" w:eastAsia="標楷體" w:hAnsi="Times New Roman" w:hint="eastAsia"/>
                <w:kern w:val="0"/>
                <w:szCs w:val="24"/>
              </w:rPr>
              <w:t>inavolisib</w:t>
            </w:r>
            <w:proofErr w:type="spellEnd"/>
            <w:r w:rsidR="00030D56" w:rsidRPr="00563813">
              <w:rPr>
                <w:rFonts w:ascii="Times New Roman" w:eastAsia="標楷體" w:hAnsi="Times New Roman" w:hint="eastAsia"/>
                <w:kern w:val="0"/>
                <w:szCs w:val="24"/>
              </w:rPr>
              <w:t>之高血糖及危及</w:t>
            </w:r>
            <w:proofErr w:type="gramStart"/>
            <w:r w:rsidR="00030D56" w:rsidRPr="00563813">
              <w:rPr>
                <w:rFonts w:ascii="Times New Roman" w:eastAsia="標楷體" w:hAnsi="Times New Roman" w:hint="eastAsia"/>
                <w:kern w:val="0"/>
                <w:szCs w:val="24"/>
              </w:rPr>
              <w:t>生命的酮酸中毒</w:t>
            </w:r>
            <w:proofErr w:type="gramEnd"/>
            <w:r w:rsidR="00030D56" w:rsidRPr="00563813">
              <w:rPr>
                <w:rFonts w:ascii="Times New Roman" w:eastAsia="標楷體" w:hAnsi="Times New Roman" w:hint="eastAsia"/>
                <w:kern w:val="0"/>
                <w:szCs w:val="24"/>
              </w:rPr>
              <w:t>風險</w:t>
            </w:r>
            <w:r w:rsidRPr="00563813">
              <w:rPr>
                <w:rFonts w:ascii="Times New Roman" w:eastAsia="標楷體" w:hAnsi="Times New Roman" w:hint="eastAsia"/>
                <w:kern w:val="0"/>
                <w:szCs w:val="24"/>
              </w:rPr>
              <w:t>。</w:t>
            </w:r>
          </w:p>
          <w:p w14:paraId="2C615F99" w14:textId="77777777" w:rsidR="00B725D9" w:rsidRPr="00030D56" w:rsidRDefault="00B725D9" w:rsidP="00AD4368">
            <w:pPr>
              <w:widowControl/>
              <w:spacing w:line="400" w:lineRule="exact"/>
              <w:ind w:left="480"/>
              <w:jc w:val="both"/>
              <w:rPr>
                <w:rFonts w:ascii="Times New Roman" w:eastAsia="標楷體" w:hAnsi="Times New Roman"/>
                <w:b/>
                <w:bCs/>
                <w:kern w:val="0"/>
                <w:szCs w:val="24"/>
                <w:u w:val="single"/>
              </w:rPr>
            </w:pPr>
          </w:p>
          <w:p w14:paraId="1E308352" w14:textId="7E85BDFC" w:rsidR="00AD4368" w:rsidRPr="00F441C9" w:rsidRDefault="00AD4368" w:rsidP="009937BF">
            <w:pPr>
              <w:widowControl/>
              <w:numPr>
                <w:ilvl w:val="0"/>
                <w:numId w:val="1"/>
              </w:numPr>
              <w:spacing w:line="400" w:lineRule="exact"/>
              <w:jc w:val="both"/>
              <w:rPr>
                <w:rFonts w:ascii="Times New Roman" w:eastAsia="標楷體" w:hAnsi="Times New Roman"/>
                <w:b/>
                <w:bCs/>
                <w:kern w:val="0"/>
                <w:szCs w:val="24"/>
                <w:u w:val="single"/>
              </w:rPr>
            </w:pPr>
            <w:r w:rsidRPr="00F441C9">
              <w:rPr>
                <w:rFonts w:ascii="Times New Roman" w:eastAsia="標楷體" w:hAnsi="Times New Roman"/>
                <w:b/>
                <w:bCs/>
                <w:kern w:val="0"/>
                <w:szCs w:val="24"/>
                <w:u w:val="single"/>
              </w:rPr>
              <w:t>醫療人員</w:t>
            </w:r>
            <w:r w:rsidRPr="00F441C9">
              <w:rPr>
                <w:rFonts w:ascii="Times New Roman" w:eastAsia="標楷體" w:hAnsi="Times New Roman"/>
                <w:b/>
                <w:bCs/>
                <w:kern w:val="0"/>
                <w:szCs w:val="24"/>
              </w:rPr>
              <w:t>應注意事項：</w:t>
            </w:r>
          </w:p>
          <w:p w14:paraId="4FECB25B" w14:textId="31978045" w:rsidR="006F3DAB" w:rsidRDefault="005129E5" w:rsidP="006F3DAB">
            <w:pPr>
              <w:pStyle w:val="a3"/>
              <w:widowControl/>
              <w:numPr>
                <w:ilvl w:val="0"/>
                <w:numId w:val="14"/>
              </w:numPr>
              <w:shd w:val="clear" w:color="auto" w:fill="FFFFFF"/>
              <w:ind w:leftChars="0"/>
              <w:jc w:val="both"/>
              <w:rPr>
                <w:rFonts w:ascii="Times New Roman" w:eastAsia="標楷體" w:hAnsi="Times New Roman"/>
                <w:kern w:val="0"/>
                <w:szCs w:val="24"/>
              </w:rPr>
            </w:pPr>
            <w:r w:rsidRPr="001D2BF1">
              <w:rPr>
                <w:rFonts w:ascii="Times New Roman" w:eastAsia="標楷體" w:hAnsi="Times New Roman" w:hint="eastAsia"/>
                <w:kern w:val="0"/>
                <w:szCs w:val="24"/>
              </w:rPr>
              <w:t>含</w:t>
            </w:r>
            <w:proofErr w:type="spellStart"/>
            <w:r w:rsidRPr="001D2BF1">
              <w:rPr>
                <w:rFonts w:ascii="Times New Roman" w:eastAsia="標楷體" w:hAnsi="Times New Roman" w:hint="eastAsia"/>
                <w:kern w:val="0"/>
                <w:szCs w:val="24"/>
              </w:rPr>
              <w:t>inavolisib</w:t>
            </w:r>
            <w:proofErr w:type="spellEnd"/>
            <w:r w:rsidRPr="001D2BF1">
              <w:rPr>
                <w:rFonts w:ascii="Times New Roman" w:eastAsia="標楷體" w:hAnsi="Times New Roman" w:hint="eastAsia"/>
                <w:kern w:val="0"/>
                <w:szCs w:val="24"/>
              </w:rPr>
              <w:t>成分藥品</w:t>
            </w:r>
            <w:r>
              <w:rPr>
                <w:rFonts w:ascii="Times New Roman" w:eastAsia="標楷體" w:hAnsi="Times New Roman" w:hint="eastAsia"/>
                <w:kern w:val="0"/>
                <w:szCs w:val="24"/>
              </w:rPr>
              <w:t>有引起</w:t>
            </w:r>
            <w:r w:rsidRPr="004F0389">
              <w:rPr>
                <w:rFonts w:ascii="Times New Roman" w:eastAsia="標楷體" w:hAnsi="Times New Roman" w:hint="eastAsia"/>
                <w:kern w:val="0"/>
                <w:szCs w:val="24"/>
              </w:rPr>
              <w:t>高血糖和危及</w:t>
            </w:r>
            <w:proofErr w:type="gramStart"/>
            <w:r w:rsidRPr="004F0389">
              <w:rPr>
                <w:rFonts w:ascii="Times New Roman" w:eastAsia="標楷體" w:hAnsi="Times New Roman" w:hint="eastAsia"/>
                <w:kern w:val="0"/>
                <w:szCs w:val="24"/>
              </w:rPr>
              <w:t>生命的酮酸中毒</w:t>
            </w:r>
            <w:proofErr w:type="gramEnd"/>
            <w:r w:rsidRPr="004F0389">
              <w:rPr>
                <w:rFonts w:ascii="Times New Roman" w:eastAsia="標楷體" w:hAnsi="Times New Roman" w:hint="eastAsia"/>
                <w:kern w:val="0"/>
                <w:szCs w:val="24"/>
              </w:rPr>
              <w:t>風險</w:t>
            </w:r>
            <w:r>
              <w:rPr>
                <w:rFonts w:ascii="Times New Roman" w:eastAsia="標楷體" w:hAnsi="Times New Roman" w:hint="eastAsia"/>
                <w:kern w:val="0"/>
                <w:szCs w:val="24"/>
              </w:rPr>
              <w:t>，</w:t>
            </w:r>
            <w:r w:rsidR="00636679">
              <w:rPr>
                <w:rFonts w:ascii="Times New Roman" w:eastAsia="標楷體" w:hAnsi="Times New Roman" w:hint="eastAsia"/>
                <w:kern w:val="0"/>
                <w:szCs w:val="24"/>
              </w:rPr>
              <w:t>其風險管</w:t>
            </w:r>
            <w:r w:rsidR="00732A61">
              <w:rPr>
                <w:rFonts w:ascii="Times New Roman" w:eastAsia="標楷體" w:hAnsi="Times New Roman" w:hint="eastAsia"/>
                <w:kern w:val="0"/>
                <w:szCs w:val="24"/>
              </w:rPr>
              <w:t>控</w:t>
            </w:r>
            <w:r w:rsidR="00636679">
              <w:rPr>
                <w:rFonts w:ascii="Times New Roman" w:eastAsia="標楷體" w:hAnsi="Times New Roman" w:hint="eastAsia"/>
                <w:kern w:val="0"/>
                <w:szCs w:val="24"/>
              </w:rPr>
              <w:t>措施</w:t>
            </w:r>
            <w:r w:rsidR="00675A55">
              <w:rPr>
                <w:rFonts w:ascii="Times New Roman" w:eastAsia="標楷體" w:hAnsi="Times New Roman" w:hint="eastAsia"/>
                <w:kern w:val="0"/>
                <w:szCs w:val="24"/>
              </w:rPr>
              <w:t>已刊載於</w:t>
            </w:r>
            <w:r>
              <w:rPr>
                <w:rFonts w:ascii="Times New Roman" w:eastAsia="標楷體" w:hAnsi="Times New Roman" w:hint="eastAsia"/>
                <w:kern w:val="0"/>
                <w:szCs w:val="24"/>
              </w:rPr>
              <w:t>我國</w:t>
            </w:r>
            <w:r w:rsidR="00BD109B">
              <w:rPr>
                <w:rFonts w:ascii="Times New Roman" w:eastAsia="標楷體" w:hAnsi="Times New Roman" w:hint="eastAsia"/>
                <w:kern w:val="0"/>
                <w:szCs w:val="24"/>
              </w:rPr>
              <w:t>核准之</w:t>
            </w:r>
            <w:r>
              <w:rPr>
                <w:rFonts w:ascii="Times New Roman" w:eastAsia="標楷體" w:hAnsi="Times New Roman" w:hint="eastAsia"/>
                <w:kern w:val="0"/>
                <w:szCs w:val="24"/>
              </w:rPr>
              <w:t>仿單「用法用量」</w:t>
            </w:r>
            <w:r w:rsidR="00216E41">
              <w:rPr>
                <w:rFonts w:ascii="Times New Roman" w:eastAsia="標楷體" w:hAnsi="Times New Roman" w:hint="eastAsia"/>
                <w:kern w:val="0"/>
                <w:szCs w:val="24"/>
              </w:rPr>
              <w:t>及</w:t>
            </w:r>
            <w:r w:rsidRPr="004F0389">
              <w:rPr>
                <w:rFonts w:ascii="Times New Roman" w:eastAsia="標楷體" w:hAnsi="Times New Roman" w:hint="eastAsia"/>
                <w:kern w:val="0"/>
                <w:szCs w:val="24"/>
              </w:rPr>
              <w:t>「警語及注意事項」</w:t>
            </w:r>
            <w:r>
              <w:rPr>
                <w:rFonts w:ascii="Times New Roman" w:eastAsia="標楷體" w:hAnsi="Times New Roman" w:hint="eastAsia"/>
                <w:kern w:val="0"/>
                <w:szCs w:val="24"/>
              </w:rPr>
              <w:t>等段落，</w:t>
            </w:r>
            <w:r w:rsidR="001D2BF1">
              <w:rPr>
                <w:rFonts w:ascii="Times New Roman" w:eastAsia="標楷體" w:hAnsi="Times New Roman" w:hint="eastAsia"/>
                <w:kern w:val="0"/>
                <w:szCs w:val="24"/>
              </w:rPr>
              <w:t>請依照</w:t>
            </w:r>
            <w:r w:rsidR="001D2BF1" w:rsidRPr="001D2BF1">
              <w:rPr>
                <w:rFonts w:ascii="Times New Roman" w:eastAsia="標楷體" w:hAnsi="Times New Roman" w:hint="eastAsia"/>
                <w:kern w:val="0"/>
                <w:szCs w:val="24"/>
              </w:rPr>
              <w:t>仿單</w:t>
            </w:r>
            <w:r w:rsidR="006F3DAB">
              <w:rPr>
                <w:rFonts w:ascii="Times New Roman" w:eastAsia="標楷體" w:hAnsi="Times New Roman" w:hint="eastAsia"/>
                <w:kern w:val="0"/>
                <w:szCs w:val="24"/>
              </w:rPr>
              <w:t>內容</w:t>
            </w:r>
            <w:r w:rsidR="001D2BF1">
              <w:rPr>
                <w:rFonts w:ascii="Times New Roman" w:eastAsia="標楷體" w:hAnsi="Times New Roman" w:hint="eastAsia"/>
                <w:kern w:val="0"/>
                <w:szCs w:val="24"/>
              </w:rPr>
              <w:t>使用</w:t>
            </w:r>
            <w:r w:rsidR="006F3DAB">
              <w:rPr>
                <w:rFonts w:ascii="Times New Roman" w:eastAsia="標楷體" w:hAnsi="Times New Roman" w:hint="eastAsia"/>
                <w:kern w:val="0"/>
                <w:szCs w:val="24"/>
              </w:rPr>
              <w:t>。</w:t>
            </w:r>
          </w:p>
          <w:p w14:paraId="2919391A" w14:textId="23934003" w:rsidR="001D2BF1" w:rsidRPr="004B521F" w:rsidRDefault="006F3DAB" w:rsidP="006F3DAB">
            <w:pPr>
              <w:pStyle w:val="a3"/>
              <w:widowControl/>
              <w:numPr>
                <w:ilvl w:val="0"/>
                <w:numId w:val="14"/>
              </w:numPr>
              <w:shd w:val="clear" w:color="auto" w:fill="FFFFFF"/>
              <w:ind w:leftChars="0"/>
              <w:jc w:val="both"/>
              <w:rPr>
                <w:rFonts w:ascii="Times New Roman" w:eastAsia="標楷體" w:hAnsi="Times New Roman"/>
                <w:kern w:val="0"/>
                <w:szCs w:val="24"/>
              </w:rPr>
            </w:pPr>
            <w:r w:rsidRPr="001D2BF1">
              <w:rPr>
                <w:rFonts w:ascii="Times New Roman" w:eastAsia="標楷體" w:hAnsi="Times New Roman" w:hint="eastAsia"/>
                <w:kern w:val="0"/>
                <w:szCs w:val="24"/>
              </w:rPr>
              <w:t>在開始使用</w:t>
            </w:r>
            <w:proofErr w:type="spellStart"/>
            <w:r w:rsidRPr="001D2BF1">
              <w:rPr>
                <w:rFonts w:ascii="Times New Roman" w:eastAsia="標楷體" w:hAnsi="Times New Roman" w:hint="eastAsia"/>
                <w:kern w:val="0"/>
                <w:szCs w:val="24"/>
              </w:rPr>
              <w:t>inavolisib</w:t>
            </w:r>
            <w:proofErr w:type="spellEnd"/>
            <w:r w:rsidRPr="001D2BF1">
              <w:rPr>
                <w:rFonts w:ascii="Times New Roman" w:eastAsia="標楷體" w:hAnsi="Times New Roman" w:hint="eastAsia"/>
                <w:kern w:val="0"/>
                <w:szCs w:val="24"/>
              </w:rPr>
              <w:t>治療前，應檢測空腹血漿葡萄糖</w:t>
            </w:r>
            <w:r w:rsidRPr="001D2BF1">
              <w:rPr>
                <w:rFonts w:ascii="Times New Roman" w:eastAsia="標楷體" w:hAnsi="Times New Roman"/>
                <w:kern w:val="0"/>
                <w:szCs w:val="24"/>
              </w:rPr>
              <w:t xml:space="preserve"> (fasting plasma glucose</w:t>
            </w:r>
            <w:r w:rsidR="00221240">
              <w:rPr>
                <w:rFonts w:ascii="標楷體" w:eastAsia="標楷體" w:hAnsi="標楷體" w:hint="eastAsia"/>
                <w:kern w:val="0"/>
                <w:szCs w:val="24"/>
              </w:rPr>
              <w:t>；</w:t>
            </w:r>
            <w:r w:rsidRPr="001D2BF1">
              <w:rPr>
                <w:rFonts w:ascii="Times New Roman" w:eastAsia="標楷體" w:hAnsi="Times New Roman"/>
                <w:kern w:val="0"/>
                <w:szCs w:val="24"/>
              </w:rPr>
              <w:t>FPG)/</w:t>
            </w:r>
            <w:r w:rsidRPr="001D2BF1">
              <w:rPr>
                <w:rFonts w:ascii="Times New Roman" w:eastAsia="標楷體" w:hAnsi="Times New Roman" w:hint="eastAsia"/>
                <w:kern w:val="0"/>
                <w:szCs w:val="24"/>
              </w:rPr>
              <w:t>空腹血</w:t>
            </w:r>
            <w:r w:rsidRPr="001D2BF1">
              <w:rPr>
                <w:rFonts w:ascii="標楷體" w:eastAsia="標楷體" w:hAnsi="標楷體" w:cs="標楷體" w:hint="eastAsia"/>
                <w:kern w:val="0"/>
                <w:szCs w:val="24"/>
              </w:rPr>
              <w:t>糖</w:t>
            </w:r>
            <w:r w:rsidRPr="001D2BF1">
              <w:rPr>
                <w:rFonts w:ascii="Times New Roman" w:eastAsia="標楷體" w:hAnsi="Times New Roman"/>
                <w:kern w:val="0"/>
                <w:szCs w:val="24"/>
              </w:rPr>
              <w:t>(fasting blood glucose</w:t>
            </w:r>
            <w:r w:rsidR="00221240">
              <w:rPr>
                <w:rFonts w:ascii="標楷體" w:eastAsia="標楷體" w:hAnsi="標楷體" w:hint="eastAsia"/>
                <w:kern w:val="0"/>
                <w:szCs w:val="24"/>
              </w:rPr>
              <w:t>；</w:t>
            </w:r>
            <w:r w:rsidRPr="001D2BF1">
              <w:rPr>
                <w:rFonts w:ascii="Times New Roman" w:eastAsia="標楷體" w:hAnsi="Times New Roman"/>
                <w:kern w:val="0"/>
                <w:szCs w:val="24"/>
              </w:rPr>
              <w:t>FBG)</w:t>
            </w:r>
            <w:r w:rsidRPr="001D2BF1">
              <w:rPr>
                <w:rFonts w:ascii="Times New Roman" w:eastAsia="標楷體" w:hAnsi="Times New Roman" w:hint="eastAsia"/>
                <w:kern w:val="0"/>
                <w:szCs w:val="24"/>
              </w:rPr>
              <w:t>和</w:t>
            </w:r>
            <w:r w:rsidRPr="001D2BF1">
              <w:rPr>
                <w:rFonts w:ascii="Times New Roman" w:eastAsia="標楷體" w:hAnsi="Times New Roman"/>
                <w:kern w:val="0"/>
                <w:szCs w:val="24"/>
              </w:rPr>
              <w:t>HbA1</w:t>
            </w:r>
            <w:r w:rsidR="00636679" w:rsidRPr="00636679">
              <w:rPr>
                <w:rFonts w:ascii="Times New Roman" w:eastAsia="標楷體" w:hAnsi="Times New Roman"/>
                <w:kern w:val="0"/>
                <w:szCs w:val="24"/>
              </w:rPr>
              <w:t>c</w:t>
            </w:r>
            <w:r w:rsidRPr="001D2BF1">
              <w:rPr>
                <w:rFonts w:ascii="Times New Roman" w:eastAsia="標楷體" w:hAnsi="Times New Roman" w:hint="eastAsia"/>
                <w:kern w:val="0"/>
                <w:szCs w:val="24"/>
              </w:rPr>
              <w:t>數值</w:t>
            </w:r>
            <w:r w:rsidR="00221240" w:rsidRPr="00221240">
              <w:rPr>
                <w:rFonts w:ascii="標楷體" w:eastAsia="標楷體" w:hAnsi="標楷體" w:cs="標楷體" w:hint="eastAsia"/>
                <w:kern w:val="0"/>
                <w:szCs w:val="24"/>
              </w:rPr>
              <w:t>。</w:t>
            </w:r>
            <w:r w:rsidR="00221240" w:rsidRPr="00F441C9">
              <w:rPr>
                <w:rFonts w:ascii="Times New Roman" w:eastAsia="標楷體" w:hAnsi="Times New Roman"/>
                <w:color w:val="000000"/>
                <w:kern w:val="0"/>
                <w:szCs w:val="24"/>
              </w:rPr>
              <w:t>在病人的血糖值</w:t>
            </w:r>
            <w:r w:rsidR="004B521F" w:rsidRPr="00F441C9">
              <w:rPr>
                <w:rFonts w:ascii="Times New Roman" w:eastAsia="標楷體" w:hAnsi="Times New Roman"/>
                <w:color w:val="000000"/>
                <w:kern w:val="0"/>
                <w:szCs w:val="24"/>
              </w:rPr>
              <w:t>穩定及</w:t>
            </w:r>
            <w:r w:rsidR="00221240" w:rsidRPr="00F441C9">
              <w:rPr>
                <w:rFonts w:ascii="Times New Roman" w:eastAsia="標楷體" w:hAnsi="Times New Roman"/>
                <w:color w:val="000000"/>
                <w:kern w:val="0"/>
                <w:szCs w:val="24"/>
              </w:rPr>
              <w:t>控制</w:t>
            </w:r>
            <w:r w:rsidR="00216E41" w:rsidRPr="00F441C9">
              <w:rPr>
                <w:rFonts w:ascii="Times New Roman" w:eastAsia="標楷體" w:hAnsi="Times New Roman"/>
                <w:color w:val="000000"/>
                <w:kern w:val="0"/>
                <w:szCs w:val="24"/>
              </w:rPr>
              <w:t>良好</w:t>
            </w:r>
            <w:r w:rsidR="00221240" w:rsidRPr="00F441C9">
              <w:rPr>
                <w:rFonts w:ascii="Times New Roman" w:eastAsia="標楷體" w:hAnsi="Times New Roman"/>
                <w:color w:val="000000"/>
                <w:kern w:val="0"/>
                <w:szCs w:val="24"/>
              </w:rPr>
              <w:t>前，不</w:t>
            </w:r>
            <w:r w:rsidR="00221240">
              <w:rPr>
                <w:rFonts w:ascii="Times New Roman" w:eastAsia="標楷體" w:hAnsi="Times New Roman" w:hint="eastAsia"/>
                <w:color w:val="000000"/>
                <w:kern w:val="0"/>
                <w:szCs w:val="24"/>
              </w:rPr>
              <w:t>建議</w:t>
            </w:r>
            <w:r w:rsidR="00221240" w:rsidRPr="00F441C9">
              <w:rPr>
                <w:rFonts w:ascii="Times New Roman" w:eastAsia="標楷體" w:hAnsi="Times New Roman"/>
                <w:color w:val="000000"/>
                <w:kern w:val="0"/>
                <w:szCs w:val="24"/>
              </w:rPr>
              <w:t>使用</w:t>
            </w:r>
            <w:proofErr w:type="spellStart"/>
            <w:r w:rsidR="00221240" w:rsidRPr="00F441C9">
              <w:rPr>
                <w:rFonts w:ascii="Times New Roman" w:eastAsia="標楷體" w:hAnsi="Times New Roman"/>
                <w:color w:val="000000"/>
                <w:kern w:val="0"/>
                <w:szCs w:val="24"/>
              </w:rPr>
              <w:t>inavolisib</w:t>
            </w:r>
            <w:proofErr w:type="spellEnd"/>
            <w:r w:rsidR="00221240">
              <w:rPr>
                <w:rFonts w:ascii="Times New Roman" w:eastAsia="標楷體" w:hAnsi="Times New Roman" w:hint="eastAsia"/>
                <w:color w:val="000000"/>
                <w:kern w:val="0"/>
                <w:szCs w:val="24"/>
              </w:rPr>
              <w:t>。</w:t>
            </w:r>
          </w:p>
          <w:p w14:paraId="5529D675" w14:textId="20149BD9" w:rsidR="00AD4368" w:rsidRPr="00C864E3" w:rsidRDefault="004B521F" w:rsidP="00C864E3">
            <w:pPr>
              <w:pStyle w:val="a3"/>
              <w:widowControl/>
              <w:numPr>
                <w:ilvl w:val="0"/>
                <w:numId w:val="14"/>
              </w:numPr>
              <w:shd w:val="clear" w:color="auto" w:fill="FFFFFF"/>
              <w:ind w:leftChars="0"/>
              <w:jc w:val="both"/>
              <w:rPr>
                <w:rFonts w:ascii="Times New Roman" w:eastAsia="標楷體" w:hAnsi="Times New Roman"/>
                <w:kern w:val="0"/>
                <w:szCs w:val="24"/>
              </w:rPr>
            </w:pPr>
            <w:r>
              <w:rPr>
                <w:rFonts w:ascii="Times New Roman" w:eastAsia="標楷體" w:hAnsi="Times New Roman" w:hint="eastAsia"/>
                <w:color w:val="000000"/>
                <w:kern w:val="0"/>
                <w:szCs w:val="24"/>
              </w:rPr>
              <w:t>在使用</w:t>
            </w:r>
            <w:proofErr w:type="spellStart"/>
            <w:r w:rsidRPr="001D2BF1">
              <w:rPr>
                <w:rFonts w:ascii="Times New Roman" w:eastAsia="標楷體" w:hAnsi="Times New Roman" w:hint="eastAsia"/>
                <w:kern w:val="0"/>
                <w:szCs w:val="24"/>
              </w:rPr>
              <w:t>inavolisib</w:t>
            </w:r>
            <w:proofErr w:type="spellEnd"/>
            <w:r>
              <w:rPr>
                <w:rFonts w:ascii="Times New Roman" w:eastAsia="標楷體" w:hAnsi="Times New Roman" w:hint="eastAsia"/>
                <w:kern w:val="0"/>
                <w:szCs w:val="24"/>
              </w:rPr>
              <w:t>治療</w:t>
            </w:r>
            <w:proofErr w:type="gramStart"/>
            <w:r w:rsidR="006F18F8">
              <w:rPr>
                <w:rFonts w:ascii="Times New Roman" w:eastAsia="標楷體" w:hAnsi="Times New Roman" w:hint="eastAsia"/>
                <w:kern w:val="0"/>
                <w:szCs w:val="24"/>
              </w:rPr>
              <w:t>期間</w:t>
            </w:r>
            <w:r>
              <w:rPr>
                <w:rFonts w:ascii="Times New Roman" w:eastAsia="標楷體" w:hAnsi="Times New Roman" w:hint="eastAsia"/>
                <w:kern w:val="0"/>
                <w:szCs w:val="24"/>
              </w:rPr>
              <w:t>，</w:t>
            </w:r>
            <w:proofErr w:type="gramEnd"/>
            <w:r w:rsidR="00C864E3">
              <w:rPr>
                <w:rFonts w:ascii="Times New Roman" w:eastAsia="標楷體" w:hAnsi="Times New Roman" w:hint="eastAsia"/>
                <w:kern w:val="0"/>
                <w:szCs w:val="24"/>
              </w:rPr>
              <w:t>請遵守</w:t>
            </w:r>
            <w:r w:rsidR="00C864E3" w:rsidRPr="00F441C9">
              <w:rPr>
                <w:rFonts w:ascii="Times New Roman" w:eastAsia="標楷體" w:hAnsi="Times New Roman"/>
                <w:kern w:val="0"/>
                <w:szCs w:val="24"/>
              </w:rPr>
              <w:t>仿單的</w:t>
            </w:r>
            <w:r w:rsidR="00C864E3">
              <w:rPr>
                <w:rFonts w:ascii="Times New Roman" w:eastAsia="標楷體" w:hAnsi="Times New Roman" w:hint="eastAsia"/>
                <w:kern w:val="0"/>
                <w:szCs w:val="24"/>
              </w:rPr>
              <w:t>血糖監測及</w:t>
            </w:r>
            <w:r w:rsidR="00C864E3" w:rsidRPr="00F441C9">
              <w:rPr>
                <w:rFonts w:ascii="Times New Roman" w:eastAsia="標楷體" w:hAnsi="Times New Roman"/>
                <w:kern w:val="0"/>
                <w:szCs w:val="24"/>
              </w:rPr>
              <w:t>劑量調整建議</w:t>
            </w:r>
            <w:r w:rsidR="00C864E3">
              <w:rPr>
                <w:rFonts w:ascii="Times New Roman" w:eastAsia="標楷體" w:hAnsi="Times New Roman" w:hint="eastAsia"/>
                <w:kern w:val="0"/>
                <w:szCs w:val="24"/>
              </w:rPr>
              <w:t>；</w:t>
            </w:r>
            <w:r w:rsidR="00AD4368" w:rsidRPr="00C864E3">
              <w:rPr>
                <w:rFonts w:ascii="Times New Roman" w:eastAsia="標楷體" w:hAnsi="Times New Roman" w:hint="eastAsia"/>
                <w:kern w:val="0"/>
                <w:szCs w:val="24"/>
              </w:rPr>
              <w:t>對於控制良好的第</w:t>
            </w:r>
            <w:r w:rsidR="00AD4368" w:rsidRPr="00C864E3">
              <w:rPr>
                <w:rFonts w:ascii="Times New Roman" w:eastAsia="標楷體" w:hAnsi="Times New Roman" w:hint="eastAsia"/>
                <w:kern w:val="0"/>
                <w:szCs w:val="24"/>
              </w:rPr>
              <w:t>2</w:t>
            </w:r>
            <w:r w:rsidR="00AD4368" w:rsidRPr="00C864E3">
              <w:rPr>
                <w:rFonts w:ascii="Times New Roman" w:eastAsia="標楷體" w:hAnsi="Times New Roman" w:hint="eastAsia"/>
                <w:kern w:val="0"/>
                <w:szCs w:val="24"/>
              </w:rPr>
              <w:t>型糖尿病病人</w:t>
            </w:r>
            <w:r w:rsidR="00AD4368" w:rsidRPr="00C864E3">
              <w:rPr>
                <w:rFonts w:ascii="標楷體" w:eastAsia="標楷體" w:hAnsi="標楷體" w:hint="eastAsia"/>
                <w:kern w:val="0"/>
                <w:szCs w:val="24"/>
              </w:rPr>
              <w:t>，</w:t>
            </w:r>
            <w:r w:rsidR="00AD4368" w:rsidRPr="00C864E3">
              <w:rPr>
                <w:rFonts w:ascii="Times New Roman" w:eastAsia="標楷體" w:hAnsi="Times New Roman" w:hint="eastAsia"/>
                <w:kern w:val="0"/>
                <w:szCs w:val="24"/>
              </w:rPr>
              <w:t>可能仍需依臨床評估加強</w:t>
            </w:r>
            <w:r w:rsidR="00C864E3">
              <w:rPr>
                <w:rFonts w:ascii="Times New Roman" w:eastAsia="標楷體" w:hAnsi="Times New Roman" w:hint="eastAsia"/>
                <w:kern w:val="0"/>
                <w:szCs w:val="24"/>
              </w:rPr>
              <w:t>降</w:t>
            </w:r>
            <w:r w:rsidR="00AD4368" w:rsidRPr="00C864E3">
              <w:rPr>
                <w:rFonts w:ascii="Times New Roman" w:eastAsia="標楷體" w:hAnsi="Times New Roman" w:hint="eastAsia"/>
                <w:kern w:val="0"/>
                <w:szCs w:val="24"/>
              </w:rPr>
              <w:t>血糖的治療</w:t>
            </w:r>
            <w:r w:rsidR="00AD4368" w:rsidRPr="00C864E3">
              <w:rPr>
                <w:rFonts w:ascii="標楷體" w:eastAsia="標楷體" w:hAnsi="標楷體" w:hint="eastAsia"/>
                <w:kern w:val="0"/>
                <w:szCs w:val="24"/>
              </w:rPr>
              <w:t>，</w:t>
            </w:r>
            <w:r w:rsidR="00AD4368" w:rsidRPr="00C864E3">
              <w:rPr>
                <w:rFonts w:ascii="Times New Roman" w:eastAsia="標楷體" w:hAnsi="Times New Roman" w:hint="eastAsia"/>
                <w:kern w:val="0"/>
                <w:szCs w:val="24"/>
              </w:rPr>
              <w:t>並密切監測空腹血糖值。</w:t>
            </w:r>
          </w:p>
          <w:p w14:paraId="4F43DDFC" w14:textId="10D3367F" w:rsidR="00C369F5" w:rsidRPr="00C369F5" w:rsidRDefault="005E3328" w:rsidP="00C864E3">
            <w:pPr>
              <w:pStyle w:val="a3"/>
              <w:widowControl/>
              <w:numPr>
                <w:ilvl w:val="0"/>
                <w:numId w:val="14"/>
              </w:numPr>
              <w:shd w:val="clear" w:color="auto" w:fill="FFFFFF"/>
              <w:ind w:leftChars="0"/>
              <w:jc w:val="both"/>
              <w:rPr>
                <w:rFonts w:ascii="Times New Roman" w:eastAsia="標楷體" w:hAnsi="Times New Roman"/>
                <w:kern w:val="0"/>
                <w:szCs w:val="24"/>
              </w:rPr>
            </w:pPr>
            <w:r>
              <w:rPr>
                <w:rFonts w:ascii="Times New Roman" w:eastAsia="標楷體" w:hAnsi="Times New Roman" w:hint="eastAsia"/>
                <w:color w:val="000000"/>
                <w:kern w:val="0"/>
                <w:szCs w:val="24"/>
              </w:rPr>
              <w:t>使用</w:t>
            </w:r>
            <w:proofErr w:type="spellStart"/>
            <w:r w:rsidRPr="001D2BF1">
              <w:rPr>
                <w:rFonts w:ascii="Times New Roman" w:eastAsia="標楷體" w:hAnsi="Times New Roman" w:hint="eastAsia"/>
                <w:kern w:val="0"/>
                <w:szCs w:val="24"/>
              </w:rPr>
              <w:t>inavolisib</w:t>
            </w:r>
            <w:proofErr w:type="spellEnd"/>
            <w:r>
              <w:rPr>
                <w:rFonts w:ascii="Times New Roman" w:eastAsia="標楷體" w:hAnsi="Times New Roman" w:hint="eastAsia"/>
                <w:kern w:val="0"/>
                <w:szCs w:val="24"/>
              </w:rPr>
              <w:t>治療的病人，若</w:t>
            </w:r>
            <w:r w:rsidR="00C369F5">
              <w:rPr>
                <w:rFonts w:ascii="Times New Roman" w:eastAsia="標楷體" w:hAnsi="Times New Roman" w:hint="eastAsia"/>
                <w:kern w:val="0"/>
                <w:szCs w:val="24"/>
              </w:rPr>
              <w:t>正在</w:t>
            </w:r>
            <w:r w:rsidR="00C369F5" w:rsidRPr="00A37F10">
              <w:rPr>
                <w:rFonts w:ascii="Times New Roman" w:eastAsia="標楷體" w:hAnsi="Times New Roman" w:hint="eastAsia"/>
                <w:kern w:val="0"/>
                <w:szCs w:val="24"/>
              </w:rPr>
              <w:t>使用皮質類固醇、</w:t>
            </w:r>
            <w:r w:rsidR="00C369F5">
              <w:rPr>
                <w:rFonts w:ascii="Times New Roman" w:eastAsia="標楷體" w:hAnsi="Times New Roman" w:hint="eastAsia"/>
                <w:kern w:val="0"/>
                <w:szCs w:val="24"/>
              </w:rPr>
              <w:t>併發</w:t>
            </w:r>
            <w:r w:rsidR="00C369F5" w:rsidRPr="00BD4395">
              <w:rPr>
                <w:rFonts w:ascii="Times New Roman" w:eastAsia="標楷體" w:hAnsi="Times New Roman" w:hint="eastAsia"/>
                <w:kern w:val="0"/>
                <w:szCs w:val="24"/>
              </w:rPr>
              <w:t>感染症</w:t>
            </w:r>
            <w:r>
              <w:rPr>
                <w:rFonts w:ascii="Times New Roman" w:eastAsia="標楷體" w:hAnsi="Times New Roman" w:hint="eastAsia"/>
                <w:kern w:val="0"/>
                <w:szCs w:val="24"/>
              </w:rPr>
              <w:t>或</w:t>
            </w:r>
            <w:r w:rsidR="00E81E3E">
              <w:rPr>
                <w:rFonts w:ascii="Times New Roman" w:eastAsia="標楷體" w:hAnsi="Times New Roman" w:hint="eastAsia"/>
                <w:kern w:val="0"/>
                <w:szCs w:val="24"/>
              </w:rPr>
              <w:t>有其他</w:t>
            </w:r>
            <w:r w:rsidR="00C369F5" w:rsidRPr="00BD4395">
              <w:rPr>
                <w:rFonts w:ascii="Times New Roman" w:eastAsia="標楷體" w:hAnsi="Times New Roman" w:hint="eastAsia"/>
                <w:kern w:val="0"/>
                <w:szCs w:val="24"/>
              </w:rPr>
              <w:t>需</w:t>
            </w:r>
            <w:r w:rsidR="00765378">
              <w:rPr>
                <w:rFonts w:ascii="Times New Roman" w:eastAsia="標楷體" w:hAnsi="Times New Roman" w:hint="eastAsia"/>
                <w:kern w:val="0"/>
                <w:szCs w:val="24"/>
              </w:rPr>
              <w:t>要</w:t>
            </w:r>
            <w:r w:rsidR="00C369F5" w:rsidRPr="00BD4395">
              <w:rPr>
                <w:rFonts w:ascii="Times New Roman" w:eastAsia="標楷體" w:hAnsi="Times New Roman" w:hint="eastAsia"/>
                <w:kern w:val="0"/>
                <w:szCs w:val="24"/>
              </w:rPr>
              <w:t>加強</w:t>
            </w:r>
            <w:r w:rsidR="00765378" w:rsidRPr="00BD4395">
              <w:rPr>
                <w:rFonts w:ascii="Times New Roman" w:eastAsia="標楷體" w:hAnsi="Times New Roman" w:hint="eastAsia"/>
                <w:kern w:val="0"/>
                <w:szCs w:val="24"/>
              </w:rPr>
              <w:t>管理</w:t>
            </w:r>
            <w:r w:rsidR="00C369F5" w:rsidRPr="00BD4395">
              <w:rPr>
                <w:rFonts w:ascii="Times New Roman" w:eastAsia="標楷體" w:hAnsi="Times New Roman" w:hint="eastAsia"/>
                <w:kern w:val="0"/>
                <w:szCs w:val="24"/>
              </w:rPr>
              <w:t>血糖</w:t>
            </w:r>
            <w:r w:rsidR="00E81E3E">
              <w:rPr>
                <w:rFonts w:ascii="Times New Roman" w:eastAsia="標楷體" w:hAnsi="Times New Roman" w:hint="eastAsia"/>
                <w:kern w:val="0"/>
                <w:szCs w:val="24"/>
              </w:rPr>
              <w:t>之情形</w:t>
            </w:r>
            <w:r w:rsidR="00C369F5" w:rsidRPr="00BD4395">
              <w:rPr>
                <w:rFonts w:ascii="Times New Roman" w:eastAsia="標楷體" w:hAnsi="Times New Roman" w:hint="eastAsia"/>
                <w:kern w:val="0"/>
                <w:szCs w:val="24"/>
              </w:rPr>
              <w:t>，需</w:t>
            </w:r>
            <w:r w:rsidR="00256774">
              <w:rPr>
                <w:rFonts w:ascii="Times New Roman" w:eastAsia="標楷體" w:hAnsi="Times New Roman" w:hint="eastAsia"/>
                <w:kern w:val="0"/>
                <w:szCs w:val="24"/>
              </w:rPr>
              <w:t>要</w:t>
            </w:r>
            <w:r w:rsidR="00C369F5" w:rsidRPr="00BD4395">
              <w:rPr>
                <w:rFonts w:ascii="Times New Roman" w:eastAsia="標楷體" w:hAnsi="Times New Roman" w:hint="eastAsia"/>
                <w:kern w:val="0"/>
                <w:szCs w:val="24"/>
              </w:rPr>
              <w:t>更頻繁</w:t>
            </w:r>
            <w:r w:rsidR="00216E41">
              <w:rPr>
                <w:rFonts w:ascii="Times New Roman" w:eastAsia="標楷體" w:hAnsi="Times New Roman" w:hint="eastAsia"/>
                <w:kern w:val="0"/>
                <w:szCs w:val="24"/>
              </w:rPr>
              <w:t>地監</w:t>
            </w:r>
            <w:r w:rsidR="00C369F5" w:rsidRPr="00BD4395">
              <w:rPr>
                <w:rFonts w:ascii="Times New Roman" w:eastAsia="標楷體" w:hAnsi="Times New Roman" w:hint="eastAsia"/>
                <w:kern w:val="0"/>
                <w:szCs w:val="24"/>
              </w:rPr>
              <w:t>測空腹血</w:t>
            </w:r>
            <w:r w:rsidR="00C369F5" w:rsidRPr="00BD4395">
              <w:rPr>
                <w:rFonts w:ascii="Times New Roman" w:eastAsia="標楷體" w:hAnsi="Times New Roman" w:hint="eastAsia"/>
                <w:kern w:val="0"/>
                <w:szCs w:val="24"/>
              </w:rPr>
              <w:lastRenderedPageBreak/>
              <w:t>糖</w:t>
            </w:r>
            <w:r w:rsidR="00C369F5">
              <w:rPr>
                <w:rFonts w:ascii="Times New Roman" w:eastAsia="標楷體" w:hAnsi="Times New Roman" w:hint="eastAsia"/>
                <w:kern w:val="0"/>
                <w:szCs w:val="24"/>
              </w:rPr>
              <w:t>，</w:t>
            </w:r>
            <w:r w:rsidR="00C369F5" w:rsidRPr="00BD4395">
              <w:rPr>
                <w:rFonts w:ascii="Times New Roman" w:eastAsia="標楷體" w:hAnsi="Times New Roman" w:hint="eastAsia"/>
                <w:kern w:val="0"/>
                <w:szCs w:val="24"/>
              </w:rPr>
              <w:t>以預防糖代謝</w:t>
            </w:r>
            <w:r w:rsidR="00C369F5">
              <w:rPr>
                <w:rFonts w:ascii="Times New Roman" w:eastAsia="標楷體" w:hAnsi="Times New Roman" w:hint="eastAsia"/>
                <w:kern w:val="0"/>
                <w:szCs w:val="24"/>
              </w:rPr>
              <w:t>障礙</w:t>
            </w:r>
            <w:r w:rsidR="00C369F5" w:rsidRPr="00BD4395">
              <w:rPr>
                <w:rFonts w:ascii="Times New Roman" w:eastAsia="標楷體" w:hAnsi="Times New Roman" w:hint="eastAsia"/>
                <w:kern w:val="0"/>
                <w:szCs w:val="24"/>
              </w:rPr>
              <w:t>惡化及潛在</w:t>
            </w:r>
            <w:r w:rsidR="008D08BD">
              <w:rPr>
                <w:rFonts w:ascii="Times New Roman" w:eastAsia="標楷體" w:hAnsi="Times New Roman" w:hint="eastAsia"/>
                <w:kern w:val="0"/>
                <w:szCs w:val="24"/>
              </w:rPr>
              <w:t>的</w:t>
            </w:r>
            <w:r w:rsidR="00C369F5" w:rsidRPr="00BD4395">
              <w:rPr>
                <w:rFonts w:ascii="Times New Roman" w:eastAsia="標楷體" w:hAnsi="Times New Roman" w:hint="eastAsia"/>
                <w:kern w:val="0"/>
                <w:szCs w:val="24"/>
              </w:rPr>
              <w:t>併發症</w:t>
            </w:r>
            <w:r w:rsidR="00675A55">
              <w:rPr>
                <w:rFonts w:ascii="Times New Roman" w:eastAsia="標楷體" w:hAnsi="Times New Roman" w:hint="eastAsia"/>
                <w:kern w:val="0"/>
                <w:szCs w:val="24"/>
              </w:rPr>
              <w:t xml:space="preserve"> </w:t>
            </w:r>
            <w:r w:rsidR="00C369F5" w:rsidRPr="00BD4395">
              <w:rPr>
                <w:rFonts w:ascii="Times New Roman" w:eastAsia="標楷體" w:hAnsi="Times New Roman" w:hint="eastAsia"/>
                <w:kern w:val="0"/>
                <w:szCs w:val="24"/>
              </w:rPr>
              <w:t>(</w:t>
            </w:r>
            <w:r w:rsidR="00C369F5" w:rsidRPr="00BD4395">
              <w:rPr>
                <w:rFonts w:ascii="Times New Roman" w:eastAsia="標楷體" w:hAnsi="Times New Roman" w:hint="eastAsia"/>
                <w:kern w:val="0"/>
                <w:szCs w:val="24"/>
              </w:rPr>
              <w:t>包括</w:t>
            </w:r>
            <w:proofErr w:type="gramStart"/>
            <w:r w:rsidR="00C369F5" w:rsidRPr="00BD4395">
              <w:rPr>
                <w:rFonts w:ascii="Times New Roman" w:eastAsia="標楷體" w:hAnsi="Times New Roman" w:hint="eastAsia"/>
                <w:kern w:val="0"/>
                <w:szCs w:val="24"/>
              </w:rPr>
              <w:t>酮</w:t>
            </w:r>
            <w:proofErr w:type="gramEnd"/>
            <w:r w:rsidR="00C369F5" w:rsidRPr="00BD4395">
              <w:rPr>
                <w:rFonts w:ascii="Times New Roman" w:eastAsia="標楷體" w:hAnsi="Times New Roman" w:hint="eastAsia"/>
                <w:kern w:val="0"/>
                <w:szCs w:val="24"/>
              </w:rPr>
              <w:t>酸中毒</w:t>
            </w:r>
            <w:r w:rsidR="00C369F5" w:rsidRPr="00BD4395">
              <w:rPr>
                <w:rFonts w:ascii="Times New Roman" w:eastAsia="標楷體" w:hAnsi="Times New Roman" w:hint="eastAsia"/>
                <w:kern w:val="0"/>
                <w:szCs w:val="24"/>
              </w:rPr>
              <w:t>)</w:t>
            </w:r>
            <w:r w:rsidR="00C369F5" w:rsidRPr="00BD4395">
              <w:rPr>
                <w:rFonts w:ascii="Times New Roman" w:eastAsia="標楷體" w:hAnsi="Times New Roman" w:hint="eastAsia"/>
                <w:kern w:val="0"/>
                <w:szCs w:val="24"/>
              </w:rPr>
              <w:t>。除空腹</w:t>
            </w:r>
            <w:proofErr w:type="gramStart"/>
            <w:r w:rsidR="00C369F5" w:rsidRPr="00BD4395">
              <w:rPr>
                <w:rFonts w:ascii="Times New Roman" w:eastAsia="標楷體" w:hAnsi="Times New Roman" w:hint="eastAsia"/>
                <w:kern w:val="0"/>
                <w:szCs w:val="24"/>
              </w:rPr>
              <w:t>血糖</w:t>
            </w:r>
            <w:r w:rsidR="00C369F5">
              <w:rPr>
                <w:rFonts w:ascii="Times New Roman" w:eastAsia="標楷體" w:hAnsi="Times New Roman" w:hint="eastAsia"/>
                <w:kern w:val="0"/>
                <w:szCs w:val="24"/>
              </w:rPr>
              <w:t>值</w:t>
            </w:r>
            <w:r w:rsidR="00C369F5" w:rsidRPr="00BD4395">
              <w:rPr>
                <w:rFonts w:ascii="Times New Roman" w:eastAsia="標楷體" w:hAnsi="Times New Roman" w:hint="eastAsia"/>
                <w:kern w:val="0"/>
                <w:szCs w:val="24"/>
              </w:rPr>
              <w:t>外</w:t>
            </w:r>
            <w:proofErr w:type="gramEnd"/>
            <w:r w:rsidR="00C369F5" w:rsidRPr="00BD4395">
              <w:rPr>
                <w:rFonts w:ascii="Times New Roman" w:eastAsia="標楷體" w:hAnsi="Times New Roman" w:hint="eastAsia"/>
                <w:kern w:val="0"/>
                <w:szCs w:val="24"/>
              </w:rPr>
              <w:t>，</w:t>
            </w:r>
            <w:r w:rsidR="00C369F5">
              <w:rPr>
                <w:rFonts w:ascii="Times New Roman" w:eastAsia="標楷體" w:hAnsi="Times New Roman" w:hint="eastAsia"/>
                <w:kern w:val="0"/>
                <w:szCs w:val="24"/>
              </w:rPr>
              <w:t>亦</w:t>
            </w:r>
            <w:r w:rsidR="00C369F5" w:rsidRPr="00BD4395">
              <w:rPr>
                <w:rFonts w:ascii="Times New Roman" w:eastAsia="標楷體" w:hAnsi="Times New Roman" w:hint="eastAsia"/>
                <w:kern w:val="0"/>
                <w:szCs w:val="24"/>
              </w:rPr>
              <w:t>建議</w:t>
            </w:r>
            <w:r w:rsidR="00C369F5">
              <w:rPr>
                <w:rFonts w:ascii="Times New Roman" w:eastAsia="標楷體" w:hAnsi="Times New Roman" w:hint="eastAsia"/>
                <w:kern w:val="0"/>
                <w:szCs w:val="24"/>
              </w:rPr>
              <w:t>監測</w:t>
            </w:r>
            <w:r w:rsidR="00C369F5" w:rsidRPr="00BD4395">
              <w:rPr>
                <w:rFonts w:ascii="Times New Roman" w:eastAsia="標楷體" w:hAnsi="Times New Roman" w:hint="eastAsia"/>
                <w:kern w:val="0"/>
                <w:szCs w:val="24"/>
              </w:rPr>
              <w:t>HbA1c</w:t>
            </w:r>
            <w:proofErr w:type="gramStart"/>
            <w:r w:rsidR="00216E41">
              <w:rPr>
                <w:rFonts w:ascii="Times New Roman" w:eastAsia="標楷體" w:hAnsi="Times New Roman" w:hint="eastAsia"/>
                <w:kern w:val="0"/>
                <w:szCs w:val="24"/>
              </w:rPr>
              <w:t>及</w:t>
            </w:r>
            <w:r w:rsidR="00C369F5" w:rsidRPr="00BD4395">
              <w:rPr>
                <w:rFonts w:ascii="Times New Roman" w:eastAsia="標楷體" w:hAnsi="Times New Roman" w:hint="eastAsia"/>
                <w:kern w:val="0"/>
                <w:szCs w:val="24"/>
              </w:rPr>
              <w:t>酮體</w:t>
            </w:r>
            <w:proofErr w:type="gramEnd"/>
            <w:r w:rsidR="00675A55">
              <w:rPr>
                <w:rFonts w:ascii="Times New Roman" w:eastAsia="標楷體" w:hAnsi="Times New Roman" w:hint="eastAsia"/>
                <w:kern w:val="0"/>
                <w:szCs w:val="24"/>
              </w:rPr>
              <w:t xml:space="preserve"> </w:t>
            </w:r>
            <w:r w:rsidR="00C369F5" w:rsidRPr="00BD4395">
              <w:rPr>
                <w:rFonts w:ascii="Times New Roman" w:eastAsia="標楷體" w:hAnsi="Times New Roman" w:hint="eastAsia"/>
                <w:kern w:val="0"/>
                <w:szCs w:val="24"/>
              </w:rPr>
              <w:t>(</w:t>
            </w:r>
            <w:r w:rsidR="00C369F5">
              <w:rPr>
                <w:rFonts w:ascii="Times New Roman" w:eastAsia="標楷體" w:hAnsi="Times New Roman" w:hint="eastAsia"/>
                <w:kern w:val="0"/>
                <w:szCs w:val="24"/>
              </w:rPr>
              <w:t>以</w:t>
            </w:r>
            <w:proofErr w:type="gramStart"/>
            <w:r w:rsidR="00C369F5">
              <w:rPr>
                <w:rFonts w:ascii="Times New Roman" w:eastAsia="標楷體" w:hAnsi="Times New Roman" w:hint="eastAsia"/>
                <w:kern w:val="0"/>
                <w:szCs w:val="24"/>
              </w:rPr>
              <w:t>血酮為</w:t>
            </w:r>
            <w:proofErr w:type="gramEnd"/>
            <w:r w:rsidR="00C369F5">
              <w:rPr>
                <w:rFonts w:ascii="Times New Roman" w:eastAsia="標楷體" w:hAnsi="Times New Roman" w:hint="eastAsia"/>
                <w:kern w:val="0"/>
                <w:szCs w:val="24"/>
              </w:rPr>
              <w:t>佳</w:t>
            </w:r>
            <w:r w:rsidR="00C369F5" w:rsidRPr="00BD4395">
              <w:rPr>
                <w:rFonts w:ascii="Times New Roman" w:eastAsia="標楷體" w:hAnsi="Times New Roman" w:hint="eastAsia"/>
                <w:kern w:val="0"/>
                <w:szCs w:val="24"/>
              </w:rPr>
              <w:t>)</w:t>
            </w:r>
            <w:r w:rsidR="00C369F5" w:rsidRPr="00BD4395">
              <w:rPr>
                <w:rFonts w:ascii="標楷體" w:eastAsia="標楷體" w:hAnsi="標楷體" w:hint="eastAsia"/>
                <w:kern w:val="0"/>
                <w:szCs w:val="24"/>
              </w:rPr>
              <w:t>。</w:t>
            </w:r>
          </w:p>
          <w:p w14:paraId="09EF8B7A" w14:textId="01656193" w:rsidR="00C864E3" w:rsidRDefault="00BB1537" w:rsidP="00C864E3">
            <w:pPr>
              <w:pStyle w:val="a3"/>
              <w:widowControl/>
              <w:numPr>
                <w:ilvl w:val="0"/>
                <w:numId w:val="14"/>
              </w:numPr>
              <w:shd w:val="clear" w:color="auto" w:fill="FFFFFF"/>
              <w:ind w:leftChars="0"/>
              <w:jc w:val="both"/>
              <w:rPr>
                <w:rFonts w:ascii="Times New Roman" w:eastAsia="標楷體" w:hAnsi="Times New Roman"/>
                <w:kern w:val="0"/>
                <w:szCs w:val="24"/>
              </w:rPr>
            </w:pPr>
            <w:r>
              <w:rPr>
                <w:rFonts w:ascii="Times New Roman" w:eastAsia="標楷體" w:hAnsi="Times New Roman" w:hint="eastAsia"/>
                <w:kern w:val="0"/>
                <w:szCs w:val="24"/>
              </w:rPr>
              <w:t>請</w:t>
            </w:r>
            <w:r w:rsidR="00AD4368" w:rsidRPr="00F441C9">
              <w:rPr>
                <w:rFonts w:ascii="Times New Roman" w:eastAsia="標楷體" w:hAnsi="Times New Roman"/>
                <w:kern w:val="0"/>
                <w:szCs w:val="24"/>
              </w:rPr>
              <w:t>告知病人和</w:t>
            </w:r>
            <w:r w:rsidR="00AD4368" w:rsidRPr="00F441C9">
              <w:rPr>
                <w:rFonts w:ascii="Times New Roman" w:eastAsia="標楷體" w:hAnsi="Times New Roman"/>
                <w:kern w:val="0"/>
                <w:szCs w:val="24"/>
              </w:rPr>
              <w:t>/</w:t>
            </w:r>
            <w:proofErr w:type="gramStart"/>
            <w:r w:rsidR="00AD4368" w:rsidRPr="00F441C9">
              <w:rPr>
                <w:rFonts w:ascii="Times New Roman" w:eastAsia="標楷體" w:hAnsi="Times New Roman"/>
                <w:kern w:val="0"/>
                <w:szCs w:val="24"/>
              </w:rPr>
              <w:t>或其照護</w:t>
            </w:r>
            <w:proofErr w:type="gramEnd"/>
            <w:r w:rsidR="00AD4368" w:rsidRPr="00F441C9">
              <w:rPr>
                <w:rFonts w:ascii="Times New Roman" w:eastAsia="標楷體" w:hAnsi="Times New Roman"/>
                <w:kern w:val="0"/>
                <w:szCs w:val="24"/>
              </w:rPr>
              <w:t>者使用</w:t>
            </w:r>
            <w:proofErr w:type="spellStart"/>
            <w:r w:rsidR="00AD4368" w:rsidRPr="00C864E3">
              <w:rPr>
                <w:rFonts w:ascii="Times New Roman" w:eastAsia="標楷體" w:hAnsi="Times New Roman"/>
                <w:kern w:val="0"/>
                <w:szCs w:val="24"/>
              </w:rPr>
              <w:t>inavolisib</w:t>
            </w:r>
            <w:proofErr w:type="spellEnd"/>
            <w:r w:rsidR="00C864E3">
              <w:rPr>
                <w:rFonts w:ascii="Times New Roman" w:eastAsia="標楷體" w:hAnsi="Times New Roman" w:hint="eastAsia"/>
                <w:kern w:val="0"/>
                <w:szCs w:val="24"/>
              </w:rPr>
              <w:t>後發生高血</w:t>
            </w:r>
            <w:r w:rsidR="00C864E3" w:rsidRPr="00C864E3">
              <w:rPr>
                <w:rFonts w:ascii="標楷體" w:eastAsia="標楷體" w:hAnsi="標楷體" w:cs="標楷體" w:hint="eastAsia"/>
                <w:kern w:val="0"/>
                <w:szCs w:val="24"/>
              </w:rPr>
              <w:t>糖</w:t>
            </w:r>
            <w:r w:rsidR="00C864E3">
              <w:rPr>
                <w:rFonts w:ascii="標楷體" w:eastAsia="標楷體" w:hAnsi="標楷體" w:cs="標楷體" w:hint="eastAsia"/>
                <w:kern w:val="0"/>
                <w:szCs w:val="24"/>
              </w:rPr>
              <w:t>的風險，並提醒用藥後若出現</w:t>
            </w:r>
            <w:r w:rsidR="00C864E3">
              <w:rPr>
                <w:rFonts w:ascii="Times New Roman" w:eastAsia="標楷體" w:hAnsi="Times New Roman" w:hint="eastAsia"/>
                <w:kern w:val="0"/>
                <w:szCs w:val="24"/>
              </w:rPr>
              <w:t>高血</w:t>
            </w:r>
            <w:r w:rsidR="00C864E3" w:rsidRPr="00C864E3">
              <w:rPr>
                <w:rFonts w:ascii="標楷體" w:eastAsia="標楷體" w:hAnsi="標楷體" w:cs="標楷體" w:hint="eastAsia"/>
                <w:kern w:val="0"/>
                <w:szCs w:val="24"/>
              </w:rPr>
              <w:t>糖</w:t>
            </w:r>
            <w:r w:rsidR="00C864E3">
              <w:rPr>
                <w:rFonts w:ascii="標楷體" w:eastAsia="標楷體" w:hAnsi="標楷體" w:cs="標楷體" w:hint="eastAsia"/>
                <w:kern w:val="0"/>
                <w:szCs w:val="24"/>
              </w:rPr>
              <w:t>的</w:t>
            </w:r>
            <w:r w:rsidR="00C864E3" w:rsidRPr="00F441C9">
              <w:rPr>
                <w:rFonts w:ascii="Times New Roman" w:eastAsia="標楷體" w:hAnsi="Times New Roman"/>
                <w:kern w:val="0"/>
                <w:szCs w:val="24"/>
              </w:rPr>
              <w:t>相關症狀與徵候</w:t>
            </w:r>
            <w:r w:rsidR="00713590">
              <w:rPr>
                <w:rFonts w:ascii="Times New Roman" w:eastAsia="標楷體" w:hAnsi="Times New Roman" w:hint="eastAsia"/>
                <w:kern w:val="0"/>
                <w:szCs w:val="24"/>
              </w:rPr>
              <w:t xml:space="preserve"> </w:t>
            </w:r>
            <w:r w:rsidR="00C864E3" w:rsidRPr="00C864E3">
              <w:rPr>
                <w:rFonts w:ascii="Times New Roman" w:eastAsia="標楷體" w:hAnsi="Times New Roman"/>
                <w:kern w:val="0"/>
                <w:szCs w:val="24"/>
              </w:rPr>
              <w:t>(</w:t>
            </w:r>
            <w:r w:rsidR="00C864E3" w:rsidRPr="00C864E3">
              <w:rPr>
                <w:rFonts w:ascii="Times New Roman" w:eastAsia="標楷體" w:hAnsi="Times New Roman" w:hint="eastAsia"/>
                <w:kern w:val="0"/>
                <w:szCs w:val="24"/>
              </w:rPr>
              <w:t>如：極</w:t>
            </w:r>
            <w:r w:rsidR="00C864E3">
              <w:rPr>
                <w:rFonts w:ascii="Times New Roman" w:eastAsia="標楷體" w:hAnsi="Times New Roman" w:hint="eastAsia"/>
                <w:kern w:val="0"/>
                <w:szCs w:val="24"/>
              </w:rPr>
              <w:t>度口</w:t>
            </w:r>
            <w:r w:rsidR="00C864E3" w:rsidRPr="00C864E3">
              <w:rPr>
                <w:rFonts w:ascii="標楷體" w:eastAsia="標楷體" w:hAnsi="標楷體" w:cs="標楷體" w:hint="eastAsia"/>
                <w:kern w:val="0"/>
                <w:szCs w:val="24"/>
              </w:rPr>
              <w:t>渴、排尿</w:t>
            </w:r>
            <w:r w:rsidR="00C864E3" w:rsidRPr="00C864E3">
              <w:rPr>
                <w:rFonts w:ascii="Times New Roman" w:eastAsia="標楷體" w:hAnsi="Times New Roman" w:hint="eastAsia"/>
                <w:kern w:val="0"/>
                <w:szCs w:val="24"/>
              </w:rPr>
              <w:t>頻率</w:t>
            </w:r>
            <w:r w:rsidR="00C864E3">
              <w:rPr>
                <w:rFonts w:ascii="Times New Roman" w:eastAsia="標楷體" w:hAnsi="Times New Roman" w:hint="eastAsia"/>
                <w:kern w:val="0"/>
                <w:szCs w:val="24"/>
              </w:rPr>
              <w:t>變高</w:t>
            </w:r>
            <w:r w:rsidR="00C864E3" w:rsidRPr="00C864E3">
              <w:rPr>
                <w:rFonts w:ascii="標楷體" w:eastAsia="標楷體" w:hAnsi="標楷體" w:cs="標楷體" w:hint="eastAsia"/>
                <w:kern w:val="0"/>
                <w:szCs w:val="24"/>
              </w:rPr>
              <w:t>、</w:t>
            </w:r>
            <w:r w:rsidR="00C864E3">
              <w:rPr>
                <w:rFonts w:ascii="標楷體" w:eastAsia="標楷體" w:hAnsi="標楷體" w:cs="標楷體" w:hint="eastAsia"/>
                <w:kern w:val="0"/>
                <w:szCs w:val="24"/>
              </w:rPr>
              <w:t>視力</w:t>
            </w:r>
            <w:r w:rsidR="00C864E3" w:rsidRPr="00C864E3">
              <w:rPr>
                <w:rFonts w:ascii="標楷體" w:eastAsia="標楷體" w:hAnsi="標楷體" w:cs="標楷體" w:hint="eastAsia"/>
                <w:kern w:val="0"/>
                <w:szCs w:val="24"/>
              </w:rPr>
              <w:t>模糊、精神混亂、呼吸困難或食慾增</w:t>
            </w:r>
            <w:r w:rsidR="00C864E3">
              <w:rPr>
                <w:rFonts w:ascii="標楷體" w:eastAsia="標楷體" w:hAnsi="標楷體" w:cs="標楷體" w:hint="eastAsia"/>
                <w:kern w:val="0"/>
                <w:szCs w:val="24"/>
              </w:rPr>
              <w:t>加而</w:t>
            </w:r>
            <w:r w:rsidR="00C864E3" w:rsidRPr="00C864E3">
              <w:rPr>
                <w:rFonts w:ascii="標楷體" w:eastAsia="標楷體" w:hAnsi="標楷體" w:cs="標楷體" w:hint="eastAsia"/>
                <w:kern w:val="0"/>
                <w:szCs w:val="24"/>
              </w:rPr>
              <w:t>體重減輕</w:t>
            </w:r>
            <w:r w:rsidR="00C864E3" w:rsidRPr="00C864E3">
              <w:rPr>
                <w:rFonts w:ascii="Times New Roman" w:eastAsia="標楷體" w:hAnsi="Times New Roman"/>
                <w:kern w:val="0"/>
                <w:szCs w:val="24"/>
              </w:rPr>
              <w:t>)</w:t>
            </w:r>
            <w:r w:rsidR="00C864E3" w:rsidRPr="00F441C9">
              <w:rPr>
                <w:rFonts w:ascii="Times New Roman" w:eastAsia="標楷體" w:hAnsi="Times New Roman"/>
                <w:kern w:val="0"/>
                <w:szCs w:val="24"/>
              </w:rPr>
              <w:t>，應立即尋求醫療協助。</w:t>
            </w:r>
          </w:p>
          <w:p w14:paraId="6A38E51F" w14:textId="77777777" w:rsidR="00E04DD6" w:rsidRPr="00BB1537" w:rsidRDefault="00E04DD6" w:rsidP="00E04DD6">
            <w:pPr>
              <w:pStyle w:val="a3"/>
              <w:widowControl/>
              <w:shd w:val="clear" w:color="auto" w:fill="FFFFFF"/>
              <w:ind w:leftChars="0"/>
              <w:rPr>
                <w:rFonts w:ascii="Times New Roman" w:eastAsia="標楷體" w:hAnsi="Times New Roman"/>
                <w:kern w:val="0"/>
                <w:szCs w:val="24"/>
              </w:rPr>
            </w:pPr>
          </w:p>
          <w:p w14:paraId="45D423C5" w14:textId="77777777" w:rsidR="00AD4368" w:rsidRPr="00F441C9" w:rsidRDefault="00AD4368" w:rsidP="009937BF">
            <w:pPr>
              <w:widowControl/>
              <w:numPr>
                <w:ilvl w:val="0"/>
                <w:numId w:val="1"/>
              </w:numPr>
              <w:spacing w:line="400" w:lineRule="exact"/>
              <w:jc w:val="both"/>
              <w:rPr>
                <w:rFonts w:ascii="Times New Roman" w:eastAsia="標楷體" w:hAnsi="Times New Roman"/>
                <w:kern w:val="0"/>
                <w:szCs w:val="24"/>
              </w:rPr>
            </w:pPr>
            <w:r w:rsidRPr="00F441C9">
              <w:rPr>
                <w:rFonts w:ascii="Times New Roman" w:eastAsia="標楷體" w:hAnsi="Times New Roman"/>
                <w:b/>
                <w:bCs/>
                <w:kern w:val="0"/>
                <w:szCs w:val="24"/>
                <w:u w:val="single"/>
              </w:rPr>
              <w:t>病人</w:t>
            </w:r>
            <w:r w:rsidRPr="00F441C9">
              <w:rPr>
                <w:rFonts w:ascii="Times New Roman" w:eastAsia="標楷體" w:hAnsi="Times New Roman"/>
                <w:b/>
                <w:kern w:val="0"/>
                <w:szCs w:val="24"/>
              </w:rPr>
              <w:t>應注意事項</w:t>
            </w:r>
            <w:r w:rsidRPr="00F441C9">
              <w:rPr>
                <w:rFonts w:ascii="Times New Roman" w:eastAsia="標楷體" w:hAnsi="Times New Roman"/>
                <w:kern w:val="0"/>
                <w:szCs w:val="24"/>
              </w:rPr>
              <w:t>：</w:t>
            </w:r>
          </w:p>
          <w:p w14:paraId="766D1E0C" w14:textId="2EE06BB0" w:rsidR="00AD4368" w:rsidRDefault="00AD4368" w:rsidP="004A58A1">
            <w:pPr>
              <w:pStyle w:val="a3"/>
              <w:numPr>
                <w:ilvl w:val="0"/>
                <w:numId w:val="15"/>
              </w:numPr>
              <w:ind w:leftChars="0"/>
              <w:jc w:val="both"/>
              <w:rPr>
                <w:rFonts w:ascii="Times New Roman" w:eastAsia="標楷體" w:hAnsi="Times New Roman"/>
                <w:kern w:val="0"/>
                <w:szCs w:val="24"/>
              </w:rPr>
            </w:pPr>
            <w:proofErr w:type="spellStart"/>
            <w:r w:rsidRPr="00F441C9">
              <w:rPr>
                <w:rFonts w:ascii="Times New Roman" w:eastAsia="標楷體" w:hAnsi="Times New Roman"/>
                <w:kern w:val="0"/>
                <w:szCs w:val="24"/>
              </w:rPr>
              <w:t>Inavolisib</w:t>
            </w:r>
            <w:proofErr w:type="spellEnd"/>
            <w:r w:rsidRPr="00F441C9">
              <w:rPr>
                <w:rFonts w:ascii="Times New Roman" w:eastAsia="標楷體" w:hAnsi="Times New Roman"/>
                <w:kern w:val="0"/>
                <w:szCs w:val="24"/>
              </w:rPr>
              <w:t>可能導致高血糖，甚至</w:t>
            </w:r>
            <w:r w:rsidR="00443D68">
              <w:rPr>
                <w:rFonts w:ascii="Times New Roman" w:eastAsia="標楷體" w:hAnsi="Times New Roman" w:hint="eastAsia"/>
                <w:kern w:val="0"/>
                <w:szCs w:val="24"/>
              </w:rPr>
              <w:t>可能</w:t>
            </w:r>
            <w:r w:rsidRPr="00F441C9">
              <w:rPr>
                <w:rFonts w:ascii="Times New Roman" w:eastAsia="標楷體" w:hAnsi="Times New Roman"/>
                <w:kern w:val="0"/>
                <w:szCs w:val="24"/>
              </w:rPr>
              <w:t>引發</w:t>
            </w:r>
            <w:r w:rsidRPr="00AA7502">
              <w:rPr>
                <w:rFonts w:ascii="Times New Roman" w:eastAsia="標楷體" w:hAnsi="Times New Roman"/>
                <w:kern w:val="0"/>
                <w:szCs w:val="24"/>
              </w:rPr>
              <w:t>危及</w:t>
            </w:r>
            <w:proofErr w:type="gramStart"/>
            <w:r w:rsidRPr="00AA7502">
              <w:rPr>
                <w:rFonts w:ascii="Times New Roman" w:eastAsia="標楷體" w:hAnsi="Times New Roman"/>
                <w:kern w:val="0"/>
                <w:szCs w:val="24"/>
              </w:rPr>
              <w:t>生命的酮酸中毒</w:t>
            </w:r>
            <w:proofErr w:type="gramEnd"/>
            <w:r w:rsidRPr="00AA7502">
              <w:rPr>
                <w:rFonts w:ascii="Times New Roman" w:eastAsia="標楷體" w:hAnsi="Times New Roman"/>
                <w:kern w:val="0"/>
                <w:szCs w:val="24"/>
              </w:rPr>
              <w:t>併發症。若您</w:t>
            </w:r>
            <w:r>
              <w:rPr>
                <w:rFonts w:ascii="Times New Roman" w:eastAsia="標楷體" w:hAnsi="Times New Roman"/>
                <w:kern w:val="0"/>
                <w:szCs w:val="24"/>
              </w:rPr>
              <w:t>有</w:t>
            </w:r>
            <w:r w:rsidR="00096DD7">
              <w:rPr>
                <w:rFonts w:ascii="Times New Roman" w:eastAsia="標楷體" w:hAnsi="Times New Roman" w:hint="eastAsia"/>
                <w:kern w:val="0"/>
                <w:szCs w:val="24"/>
              </w:rPr>
              <w:t>發生</w:t>
            </w:r>
            <w:r w:rsidR="00096DD7" w:rsidRPr="00AA7502">
              <w:rPr>
                <w:rFonts w:ascii="Times New Roman" w:eastAsia="標楷體" w:hAnsi="Times New Roman"/>
                <w:kern w:val="0"/>
                <w:szCs w:val="24"/>
              </w:rPr>
              <w:t>高血糖</w:t>
            </w:r>
            <w:r w:rsidR="00096DD7">
              <w:rPr>
                <w:rFonts w:ascii="Times New Roman" w:eastAsia="標楷體" w:hAnsi="Times New Roman" w:hint="eastAsia"/>
                <w:kern w:val="0"/>
                <w:szCs w:val="24"/>
              </w:rPr>
              <w:t>的</w:t>
            </w:r>
            <w:r w:rsidR="00096DD7" w:rsidRPr="00AA7502">
              <w:rPr>
                <w:rFonts w:ascii="Times New Roman" w:eastAsia="標楷體" w:hAnsi="Times New Roman"/>
                <w:kern w:val="0"/>
                <w:szCs w:val="24"/>
              </w:rPr>
              <w:t>風險因子</w:t>
            </w:r>
            <w:r w:rsidR="00096DD7">
              <w:rPr>
                <w:rFonts w:ascii="Times New Roman" w:eastAsia="標楷體" w:hAnsi="Times New Roman" w:hint="eastAsia"/>
                <w:kern w:val="0"/>
                <w:szCs w:val="24"/>
              </w:rPr>
              <w:t>，如：有</w:t>
            </w:r>
            <w:r w:rsidRPr="00AA7502">
              <w:rPr>
                <w:rFonts w:ascii="Times New Roman" w:eastAsia="標楷體" w:hAnsi="Times New Roman"/>
                <w:kern w:val="0"/>
                <w:szCs w:val="24"/>
              </w:rPr>
              <w:t>糖尿病或</w:t>
            </w:r>
            <w:r>
              <w:rPr>
                <w:rFonts w:ascii="Times New Roman" w:eastAsia="標楷體" w:hAnsi="Times New Roman"/>
                <w:kern w:val="0"/>
                <w:szCs w:val="24"/>
              </w:rPr>
              <w:t>具有糖尿病</w:t>
            </w:r>
            <w:r w:rsidRPr="00AA7502">
              <w:rPr>
                <w:rFonts w:ascii="Times New Roman" w:eastAsia="標楷體" w:hAnsi="Times New Roman"/>
                <w:kern w:val="0"/>
                <w:szCs w:val="24"/>
              </w:rPr>
              <w:t>病史</w:t>
            </w:r>
            <w:r w:rsidR="00096DD7">
              <w:rPr>
                <w:rFonts w:ascii="Times New Roman" w:eastAsia="標楷體" w:hAnsi="Times New Roman" w:hint="eastAsia"/>
                <w:kern w:val="0"/>
                <w:szCs w:val="24"/>
              </w:rPr>
              <w:t>、</w:t>
            </w:r>
            <w:r w:rsidR="00096DD7">
              <w:rPr>
                <w:rFonts w:ascii="Times New Roman" w:eastAsia="標楷體" w:hAnsi="Times New Roman"/>
                <w:kern w:val="0"/>
                <w:szCs w:val="24"/>
              </w:rPr>
              <w:t>感染症</w:t>
            </w:r>
            <w:r w:rsidRPr="00AA7502">
              <w:rPr>
                <w:rFonts w:ascii="Times New Roman" w:eastAsia="標楷體" w:hAnsi="Times New Roman"/>
                <w:kern w:val="0"/>
                <w:szCs w:val="24"/>
              </w:rPr>
              <w:t>、正在服用皮質類固醇藥品</w:t>
            </w:r>
            <w:r w:rsidR="00096DD7">
              <w:rPr>
                <w:rFonts w:ascii="Times New Roman" w:eastAsia="標楷體" w:hAnsi="Times New Roman" w:hint="eastAsia"/>
                <w:kern w:val="0"/>
                <w:szCs w:val="24"/>
              </w:rPr>
              <w:t>等</w:t>
            </w:r>
            <w:r w:rsidRPr="00AA7502">
              <w:rPr>
                <w:rFonts w:ascii="Times New Roman" w:eastAsia="標楷體" w:hAnsi="Times New Roman"/>
                <w:kern w:val="0"/>
                <w:szCs w:val="24"/>
              </w:rPr>
              <w:t>，</w:t>
            </w:r>
            <w:r w:rsidR="00096DD7" w:rsidRPr="00096DD7">
              <w:rPr>
                <w:rFonts w:ascii="Times New Roman" w:eastAsia="標楷體" w:hAnsi="Times New Roman"/>
                <w:kern w:val="0"/>
                <w:szCs w:val="24"/>
              </w:rPr>
              <w:t>就醫時請主動告知醫師</w:t>
            </w:r>
            <w:r w:rsidRPr="00AA7502">
              <w:rPr>
                <w:rFonts w:ascii="Times New Roman" w:eastAsia="標楷體" w:hAnsi="Times New Roman"/>
                <w:kern w:val="0"/>
                <w:szCs w:val="24"/>
              </w:rPr>
              <w:t>。</w:t>
            </w:r>
          </w:p>
          <w:p w14:paraId="53269843" w14:textId="5A481600" w:rsidR="00AD4368" w:rsidRPr="00AA7502" w:rsidRDefault="00AD4368" w:rsidP="004A58A1">
            <w:pPr>
              <w:pStyle w:val="a3"/>
              <w:numPr>
                <w:ilvl w:val="0"/>
                <w:numId w:val="15"/>
              </w:numPr>
              <w:ind w:leftChars="0"/>
              <w:jc w:val="both"/>
              <w:rPr>
                <w:rFonts w:ascii="Times New Roman" w:eastAsia="標楷體" w:hAnsi="Times New Roman"/>
                <w:kern w:val="0"/>
                <w:szCs w:val="24"/>
              </w:rPr>
            </w:pPr>
            <w:r>
              <w:rPr>
                <w:rFonts w:ascii="Times New Roman" w:eastAsia="標楷體" w:hAnsi="Times New Roman"/>
                <w:kern w:val="0"/>
                <w:szCs w:val="24"/>
              </w:rPr>
              <w:t>使用</w:t>
            </w:r>
            <w:proofErr w:type="spellStart"/>
            <w:r w:rsidRPr="00F441C9">
              <w:rPr>
                <w:rFonts w:ascii="Times New Roman" w:eastAsia="標楷體" w:hAnsi="Times New Roman"/>
                <w:color w:val="000000"/>
                <w:kern w:val="0"/>
                <w:szCs w:val="24"/>
              </w:rPr>
              <w:t>inavolisib</w:t>
            </w:r>
            <w:proofErr w:type="spellEnd"/>
            <w:r>
              <w:rPr>
                <w:rFonts w:ascii="Times New Roman" w:eastAsia="標楷體" w:hAnsi="Times New Roman"/>
                <w:color w:val="000000"/>
                <w:kern w:val="0"/>
                <w:szCs w:val="24"/>
              </w:rPr>
              <w:t>治療前和治療期間需定期監測血糖</w:t>
            </w:r>
            <w:r>
              <w:rPr>
                <w:rFonts w:ascii="標楷體" w:eastAsia="標楷體" w:hAnsi="標楷體" w:hint="eastAsia"/>
                <w:color w:val="000000"/>
                <w:kern w:val="0"/>
                <w:szCs w:val="24"/>
              </w:rPr>
              <w:t>，</w:t>
            </w:r>
            <w:r>
              <w:rPr>
                <w:rFonts w:ascii="Times New Roman" w:eastAsia="標楷體" w:hAnsi="Times New Roman"/>
                <w:color w:val="000000"/>
                <w:kern w:val="0"/>
                <w:szCs w:val="24"/>
              </w:rPr>
              <w:t>請配合醫師進行血糖的監測</w:t>
            </w:r>
            <w:r>
              <w:rPr>
                <w:rFonts w:ascii="標楷體" w:eastAsia="標楷體" w:hAnsi="標楷體" w:hint="eastAsia"/>
                <w:color w:val="000000"/>
                <w:kern w:val="0"/>
                <w:szCs w:val="24"/>
              </w:rPr>
              <w:t>，</w:t>
            </w:r>
            <w:r>
              <w:rPr>
                <w:rFonts w:ascii="Times New Roman" w:eastAsia="標楷體" w:hAnsi="Times New Roman" w:hint="eastAsia"/>
                <w:color w:val="000000"/>
                <w:kern w:val="0"/>
                <w:szCs w:val="24"/>
              </w:rPr>
              <w:t>並應</w:t>
            </w:r>
            <w:r w:rsidR="00A21833">
              <w:rPr>
                <w:rFonts w:ascii="Times New Roman" w:eastAsia="標楷體" w:hAnsi="Times New Roman" w:hint="eastAsia"/>
                <w:color w:val="000000"/>
                <w:kern w:val="0"/>
                <w:szCs w:val="24"/>
              </w:rPr>
              <w:t>適當</w:t>
            </w:r>
            <w:r w:rsidR="005E3328">
              <w:rPr>
                <w:rFonts w:ascii="Times New Roman" w:eastAsia="標楷體" w:hAnsi="Times New Roman" w:hint="eastAsia"/>
                <w:color w:val="000000"/>
                <w:kern w:val="0"/>
                <w:szCs w:val="24"/>
              </w:rPr>
              <w:t>攝取</w:t>
            </w:r>
            <w:r>
              <w:rPr>
                <w:rFonts w:ascii="Times New Roman" w:eastAsia="標楷體" w:hAnsi="Times New Roman" w:hint="eastAsia"/>
                <w:color w:val="000000"/>
                <w:kern w:val="0"/>
                <w:szCs w:val="24"/>
              </w:rPr>
              <w:t>水分</w:t>
            </w:r>
            <w:r>
              <w:rPr>
                <w:rFonts w:ascii="標楷體" w:eastAsia="標楷體" w:hAnsi="標楷體" w:hint="eastAsia"/>
                <w:color w:val="000000"/>
                <w:kern w:val="0"/>
                <w:szCs w:val="24"/>
              </w:rPr>
              <w:t>。</w:t>
            </w:r>
          </w:p>
          <w:p w14:paraId="0AAC1D62" w14:textId="686C3F27" w:rsidR="00AD4368" w:rsidRPr="00D37411" w:rsidRDefault="00AD4368" w:rsidP="004A58A1">
            <w:pPr>
              <w:pStyle w:val="a3"/>
              <w:numPr>
                <w:ilvl w:val="0"/>
                <w:numId w:val="15"/>
              </w:numPr>
              <w:ind w:leftChars="0"/>
              <w:jc w:val="both"/>
              <w:rPr>
                <w:rFonts w:ascii="Times New Roman" w:eastAsia="標楷體" w:hAnsi="Times New Roman"/>
                <w:kern w:val="0"/>
                <w:szCs w:val="24"/>
              </w:rPr>
            </w:pPr>
            <w:r w:rsidRPr="00F441C9">
              <w:rPr>
                <w:rFonts w:ascii="Times New Roman" w:eastAsia="標楷體" w:hAnsi="Times New Roman"/>
                <w:kern w:val="0"/>
                <w:szCs w:val="24"/>
              </w:rPr>
              <w:t>若您於使用</w:t>
            </w:r>
            <w:proofErr w:type="spellStart"/>
            <w:r w:rsidRPr="00F441C9">
              <w:rPr>
                <w:rFonts w:ascii="Times New Roman" w:eastAsia="標楷體" w:hAnsi="Times New Roman"/>
                <w:kern w:val="0"/>
                <w:szCs w:val="24"/>
              </w:rPr>
              <w:t>inavolisib</w:t>
            </w:r>
            <w:proofErr w:type="spellEnd"/>
            <w:r w:rsidRPr="00F441C9">
              <w:rPr>
                <w:rFonts w:ascii="Times New Roman" w:eastAsia="標楷體" w:hAnsi="Times New Roman"/>
                <w:kern w:val="0"/>
                <w:szCs w:val="24"/>
              </w:rPr>
              <w:t>治療期間</w:t>
            </w:r>
            <w:r>
              <w:rPr>
                <w:rFonts w:ascii="Times New Roman" w:eastAsia="標楷體" w:hAnsi="Times New Roman"/>
                <w:kern w:val="0"/>
                <w:szCs w:val="24"/>
              </w:rPr>
              <w:t>疑似</w:t>
            </w:r>
            <w:r w:rsidR="00452821" w:rsidRPr="00F441C9">
              <w:rPr>
                <w:rFonts w:ascii="Times New Roman" w:eastAsia="標楷體" w:hAnsi="Times New Roman"/>
                <w:kern w:val="0"/>
                <w:szCs w:val="24"/>
              </w:rPr>
              <w:t>發生</w:t>
            </w:r>
            <w:r w:rsidR="00713590">
              <w:rPr>
                <w:rFonts w:ascii="Times New Roman" w:eastAsia="標楷體" w:hAnsi="Times New Roman" w:hint="eastAsia"/>
                <w:kern w:val="0"/>
                <w:szCs w:val="24"/>
              </w:rPr>
              <w:t>高血</w:t>
            </w:r>
            <w:r w:rsidR="00713590" w:rsidRPr="00C864E3">
              <w:rPr>
                <w:rFonts w:ascii="標楷體" w:eastAsia="標楷體" w:hAnsi="標楷體" w:cs="標楷體" w:hint="eastAsia"/>
                <w:kern w:val="0"/>
                <w:szCs w:val="24"/>
              </w:rPr>
              <w:t>糖</w:t>
            </w:r>
            <w:r w:rsidR="00713590">
              <w:rPr>
                <w:rFonts w:ascii="標楷體" w:eastAsia="標楷體" w:hAnsi="標楷體" w:cs="標楷體" w:hint="eastAsia"/>
                <w:kern w:val="0"/>
                <w:szCs w:val="24"/>
              </w:rPr>
              <w:t>的</w:t>
            </w:r>
            <w:r w:rsidR="00713590" w:rsidRPr="00F441C9">
              <w:rPr>
                <w:rFonts w:ascii="Times New Roman" w:eastAsia="標楷體" w:hAnsi="Times New Roman"/>
                <w:kern w:val="0"/>
                <w:szCs w:val="24"/>
              </w:rPr>
              <w:t>相關症狀與徵候</w:t>
            </w:r>
            <w:r w:rsidR="00713590">
              <w:rPr>
                <w:rFonts w:ascii="Times New Roman" w:eastAsia="標楷體" w:hAnsi="Times New Roman" w:hint="eastAsia"/>
                <w:kern w:val="0"/>
                <w:szCs w:val="24"/>
              </w:rPr>
              <w:t xml:space="preserve"> </w:t>
            </w:r>
            <w:r w:rsidR="00713590" w:rsidRPr="00C864E3">
              <w:rPr>
                <w:rFonts w:ascii="Times New Roman" w:eastAsia="標楷體" w:hAnsi="Times New Roman"/>
                <w:kern w:val="0"/>
                <w:szCs w:val="24"/>
              </w:rPr>
              <w:t>(</w:t>
            </w:r>
            <w:r w:rsidR="00713590" w:rsidRPr="00C864E3">
              <w:rPr>
                <w:rFonts w:ascii="Times New Roman" w:eastAsia="標楷體" w:hAnsi="Times New Roman" w:hint="eastAsia"/>
                <w:kern w:val="0"/>
                <w:szCs w:val="24"/>
              </w:rPr>
              <w:t>如：極</w:t>
            </w:r>
            <w:r w:rsidR="00713590">
              <w:rPr>
                <w:rFonts w:ascii="Times New Roman" w:eastAsia="標楷體" w:hAnsi="Times New Roman" w:hint="eastAsia"/>
                <w:kern w:val="0"/>
                <w:szCs w:val="24"/>
              </w:rPr>
              <w:t>度口</w:t>
            </w:r>
            <w:r w:rsidR="00713590" w:rsidRPr="00C864E3">
              <w:rPr>
                <w:rFonts w:ascii="標楷體" w:eastAsia="標楷體" w:hAnsi="標楷體" w:cs="標楷體" w:hint="eastAsia"/>
                <w:kern w:val="0"/>
                <w:szCs w:val="24"/>
              </w:rPr>
              <w:t>渴、排尿</w:t>
            </w:r>
            <w:r w:rsidR="00713590" w:rsidRPr="00C864E3">
              <w:rPr>
                <w:rFonts w:ascii="Times New Roman" w:eastAsia="標楷體" w:hAnsi="Times New Roman" w:hint="eastAsia"/>
                <w:kern w:val="0"/>
                <w:szCs w:val="24"/>
              </w:rPr>
              <w:t>頻率</w:t>
            </w:r>
            <w:r w:rsidR="00713590">
              <w:rPr>
                <w:rFonts w:ascii="Times New Roman" w:eastAsia="標楷體" w:hAnsi="Times New Roman" w:hint="eastAsia"/>
                <w:kern w:val="0"/>
                <w:szCs w:val="24"/>
              </w:rPr>
              <w:t>變高</w:t>
            </w:r>
            <w:r w:rsidR="00713590" w:rsidRPr="00C864E3">
              <w:rPr>
                <w:rFonts w:ascii="標楷體" w:eastAsia="標楷體" w:hAnsi="標楷體" w:cs="標楷體" w:hint="eastAsia"/>
                <w:kern w:val="0"/>
                <w:szCs w:val="24"/>
              </w:rPr>
              <w:t>、</w:t>
            </w:r>
            <w:r w:rsidR="00713590">
              <w:rPr>
                <w:rFonts w:ascii="標楷體" w:eastAsia="標楷體" w:hAnsi="標楷體" w:cs="標楷體" w:hint="eastAsia"/>
                <w:kern w:val="0"/>
                <w:szCs w:val="24"/>
              </w:rPr>
              <w:t>視力</w:t>
            </w:r>
            <w:r w:rsidR="00713590" w:rsidRPr="00C864E3">
              <w:rPr>
                <w:rFonts w:ascii="標楷體" w:eastAsia="標楷體" w:hAnsi="標楷體" w:cs="標楷體" w:hint="eastAsia"/>
                <w:kern w:val="0"/>
                <w:szCs w:val="24"/>
              </w:rPr>
              <w:t>模糊、精神混亂、呼吸困難或食慾增</w:t>
            </w:r>
            <w:r w:rsidR="00713590">
              <w:rPr>
                <w:rFonts w:ascii="標楷體" w:eastAsia="標楷體" w:hAnsi="標楷體" w:cs="標楷體" w:hint="eastAsia"/>
                <w:kern w:val="0"/>
                <w:szCs w:val="24"/>
              </w:rPr>
              <w:t>加而</w:t>
            </w:r>
            <w:r w:rsidR="00713590" w:rsidRPr="00C864E3">
              <w:rPr>
                <w:rFonts w:ascii="標楷體" w:eastAsia="標楷體" w:hAnsi="標楷體" w:cs="標楷體" w:hint="eastAsia"/>
                <w:kern w:val="0"/>
                <w:szCs w:val="24"/>
              </w:rPr>
              <w:t>體重減輕</w:t>
            </w:r>
            <w:r w:rsidR="00713590" w:rsidRPr="00C864E3">
              <w:rPr>
                <w:rFonts w:ascii="Times New Roman" w:eastAsia="標楷體" w:hAnsi="Times New Roman"/>
                <w:kern w:val="0"/>
                <w:szCs w:val="24"/>
              </w:rPr>
              <w:t>)</w:t>
            </w:r>
            <w:r w:rsidR="00713590" w:rsidRPr="00F441C9">
              <w:rPr>
                <w:rFonts w:ascii="Times New Roman" w:eastAsia="標楷體" w:hAnsi="Times New Roman"/>
                <w:kern w:val="0"/>
                <w:szCs w:val="24"/>
              </w:rPr>
              <w:t>，應立即尋求醫療協助</w:t>
            </w:r>
            <w:r w:rsidRPr="00D37411">
              <w:rPr>
                <w:rFonts w:ascii="Times New Roman" w:eastAsia="標楷體" w:hAnsi="Times New Roman"/>
                <w:kern w:val="0"/>
                <w:szCs w:val="24"/>
              </w:rPr>
              <w:t>。</w:t>
            </w:r>
          </w:p>
          <w:p w14:paraId="07EFE051" w14:textId="77777777" w:rsidR="00AD4368" w:rsidRDefault="00AD4368" w:rsidP="004A58A1">
            <w:pPr>
              <w:pStyle w:val="a3"/>
              <w:numPr>
                <w:ilvl w:val="0"/>
                <w:numId w:val="15"/>
              </w:numPr>
              <w:ind w:leftChars="0"/>
              <w:jc w:val="both"/>
              <w:rPr>
                <w:rFonts w:ascii="Times New Roman" w:eastAsia="標楷體" w:hAnsi="Times New Roman"/>
                <w:kern w:val="0"/>
                <w:szCs w:val="24"/>
              </w:rPr>
            </w:pPr>
            <w:r w:rsidRPr="00F441C9">
              <w:rPr>
                <w:rFonts w:ascii="Times New Roman" w:eastAsia="標楷體" w:hAnsi="Times New Roman"/>
                <w:kern w:val="0"/>
                <w:szCs w:val="24"/>
              </w:rPr>
              <w:t>若對於用藥有任何的疑問或疑慮，請諮詢醫療人員。</w:t>
            </w:r>
          </w:p>
          <w:p w14:paraId="60464885" w14:textId="77777777" w:rsidR="005E40E5" w:rsidRPr="005E40E5" w:rsidRDefault="005E40E5" w:rsidP="005E40E5">
            <w:pPr>
              <w:rPr>
                <w:rFonts w:ascii="Times New Roman" w:eastAsia="標楷體" w:hAnsi="Times New Roman"/>
                <w:kern w:val="0"/>
                <w:szCs w:val="24"/>
              </w:rPr>
            </w:pPr>
          </w:p>
          <w:p w14:paraId="42558F51" w14:textId="26663392" w:rsidR="00AD4368" w:rsidRPr="00C52225" w:rsidRDefault="00AD4368" w:rsidP="005E40E5">
            <w:pPr>
              <w:widowControl/>
              <w:numPr>
                <w:ilvl w:val="0"/>
                <w:numId w:val="1"/>
              </w:numPr>
              <w:spacing w:line="400" w:lineRule="exact"/>
              <w:jc w:val="both"/>
              <w:rPr>
                <w:rFonts w:ascii="Times New Roman" w:eastAsia="標楷體" w:hAnsi="Times New Roman"/>
                <w:szCs w:val="24"/>
              </w:rPr>
            </w:pPr>
            <w:r w:rsidRPr="00F441C9">
              <w:rPr>
                <w:rFonts w:ascii="Times New Roman" w:eastAsia="標楷體" w:hAnsi="Times New Roman"/>
              </w:rPr>
              <w:t>醫療人員或病人懷疑因為使用</w:t>
            </w:r>
            <w:r w:rsidR="00630A5C">
              <w:rPr>
                <w:rFonts w:ascii="Times New Roman" w:eastAsia="標楷體" w:hAnsi="Times New Roman" w:hint="eastAsia"/>
              </w:rPr>
              <w:t>(</w:t>
            </w:r>
            <w:r w:rsidRPr="00F441C9">
              <w:rPr>
                <w:rFonts w:ascii="Times New Roman" w:eastAsia="標楷體" w:hAnsi="Times New Roman"/>
              </w:rPr>
              <w:t>服用</w:t>
            </w:r>
            <w:r w:rsidR="00630A5C">
              <w:rPr>
                <w:rFonts w:ascii="Times New Roman" w:eastAsia="標楷體" w:hAnsi="Times New Roman" w:hint="eastAsia"/>
              </w:rPr>
              <w:t>)</w:t>
            </w:r>
            <w:r w:rsidRPr="00F441C9">
              <w:rPr>
                <w:rFonts w:ascii="Times New Roman" w:eastAsia="標楷體" w:hAnsi="Times New Roman"/>
              </w:rPr>
              <w:t>藥品導致不良反應發生時，請立即通報給衛生</w:t>
            </w:r>
            <w:proofErr w:type="gramStart"/>
            <w:r w:rsidRPr="00F441C9">
              <w:rPr>
                <w:rFonts w:ascii="Times New Roman" w:eastAsia="標楷體" w:hAnsi="Times New Roman"/>
              </w:rPr>
              <w:t>福利部所建置</w:t>
            </w:r>
            <w:proofErr w:type="gramEnd"/>
            <w:r w:rsidRPr="00F441C9">
              <w:rPr>
                <w:rFonts w:ascii="Times New Roman" w:eastAsia="標楷體" w:hAnsi="Times New Roman"/>
              </w:rPr>
              <w:t>之全國藥物不良反應通報中心，並副知所屬廠商</w:t>
            </w:r>
            <w:r w:rsidR="00630A5C">
              <w:rPr>
                <w:rFonts w:ascii="Times New Roman" w:eastAsia="標楷體" w:hAnsi="Times New Roman" w:hint="eastAsia"/>
              </w:rPr>
              <w:t xml:space="preserve"> (</w:t>
            </w:r>
            <w:r w:rsidR="00452821" w:rsidRPr="00452821">
              <w:rPr>
                <w:rFonts w:ascii="Times New Roman" w:eastAsia="標楷體" w:hAnsi="Times New Roman"/>
              </w:rPr>
              <w:t>全國藥物不良反應通報中心：專線</w:t>
            </w:r>
            <w:r w:rsidR="00452821" w:rsidRPr="00452821">
              <w:rPr>
                <w:rFonts w:ascii="Times New Roman" w:eastAsia="標楷體" w:hAnsi="Times New Roman"/>
              </w:rPr>
              <w:t>02-2396-0100</w:t>
            </w:r>
            <w:r w:rsidR="00452821" w:rsidRPr="00452821">
              <w:rPr>
                <w:rFonts w:ascii="Times New Roman" w:eastAsia="標楷體" w:hAnsi="Times New Roman"/>
              </w:rPr>
              <w:t>，網站</w:t>
            </w:r>
            <w:r w:rsidR="00452821" w:rsidRPr="00452821">
              <w:rPr>
                <w:rFonts w:ascii="Times New Roman" w:eastAsia="標楷體" w:hAnsi="Times New Roman"/>
              </w:rPr>
              <w:t>https://adr.fda.gov.tw</w:t>
            </w:r>
            <w:r w:rsidR="00630A5C">
              <w:rPr>
                <w:rFonts w:ascii="Times New Roman" w:eastAsia="標楷體" w:hAnsi="Times New Roman" w:hint="eastAsia"/>
              </w:rPr>
              <w:t>)</w:t>
            </w:r>
            <w:r w:rsidRPr="00F441C9">
              <w:rPr>
                <w:rFonts w:ascii="Times New Roman" w:eastAsia="標楷體" w:hAnsi="Times New Roman"/>
              </w:rPr>
              <w:t>；衛生福利部食品藥物管理署獲知藥品安全訊息時，</w:t>
            </w:r>
            <w:proofErr w:type="gramStart"/>
            <w:r w:rsidRPr="00F441C9">
              <w:rPr>
                <w:rFonts w:ascii="Times New Roman" w:eastAsia="標楷體" w:hAnsi="Times New Roman"/>
              </w:rPr>
              <w:t>均會蒐集</w:t>
            </w:r>
            <w:proofErr w:type="gramEnd"/>
            <w:r w:rsidRPr="00F441C9">
              <w:rPr>
                <w:rFonts w:ascii="Times New Roman" w:eastAsia="標楷體" w:hAnsi="Times New Roman"/>
              </w:rPr>
              <w:t>彙整相關資料進行評估，並對於新增之藥品風險採取對應之風險管控措施。</w:t>
            </w:r>
          </w:p>
        </w:tc>
      </w:tr>
    </w:tbl>
    <w:p w14:paraId="754E6DD5" w14:textId="77777777" w:rsidR="0026262E" w:rsidRPr="00F441C9" w:rsidRDefault="0026262E" w:rsidP="004A6F93">
      <w:pPr>
        <w:rPr>
          <w:rFonts w:ascii="Times New Roman" w:eastAsia="標楷體" w:hAnsi="Times New Roman"/>
        </w:rPr>
      </w:pPr>
    </w:p>
    <w:sectPr w:rsidR="0026262E" w:rsidRPr="00F441C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3F7F" w14:textId="77777777" w:rsidR="000757F2" w:rsidRDefault="000757F2" w:rsidP="004761F0">
      <w:r>
        <w:separator/>
      </w:r>
    </w:p>
  </w:endnote>
  <w:endnote w:type="continuationSeparator" w:id="0">
    <w:p w14:paraId="772C5730" w14:textId="77777777" w:rsidR="000757F2" w:rsidRDefault="000757F2" w:rsidP="0047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D19E3" w14:textId="77777777" w:rsidR="000757F2" w:rsidRDefault="000757F2" w:rsidP="004761F0">
      <w:r>
        <w:separator/>
      </w:r>
    </w:p>
  </w:footnote>
  <w:footnote w:type="continuationSeparator" w:id="0">
    <w:p w14:paraId="33754FAD" w14:textId="77777777" w:rsidR="000757F2" w:rsidRDefault="000757F2" w:rsidP="00476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B2A"/>
    <w:multiLevelType w:val="hybridMultilevel"/>
    <w:tmpl w:val="2C92467E"/>
    <w:lvl w:ilvl="0" w:tplc="C9F8BAA2">
      <w:start w:val="1"/>
      <w:numFmt w:val="decimal"/>
      <w:lvlText w:val="%1."/>
      <w:lvlJc w:val="left"/>
      <w:pPr>
        <w:ind w:left="480" w:hanging="480"/>
      </w:pPr>
      <w:rPr>
        <w:rFonts w:hint="eastAsia"/>
        <w:color w:val="auto"/>
        <w:lang w:val="en-US"/>
      </w:rPr>
    </w:lvl>
    <w:lvl w:ilvl="1" w:tplc="FFFFFFFF">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0D411971"/>
    <w:multiLevelType w:val="hybridMultilevel"/>
    <w:tmpl w:val="410E481E"/>
    <w:lvl w:ilvl="0" w:tplc="0BA63436">
      <w:start w:val="99"/>
      <w:numFmt w:val="bullet"/>
      <w:lvlText w:val="◎"/>
      <w:lvlJc w:val="left"/>
      <w:pPr>
        <w:ind w:left="480" w:hanging="480"/>
      </w:pPr>
      <w:rPr>
        <w:rFonts w:ascii="標楷體" w:eastAsia="標楷體" w:hAnsi="標楷體" w:hint="eastAsia"/>
        <w:lang w:val="en-US"/>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AD86770"/>
    <w:multiLevelType w:val="hybridMultilevel"/>
    <w:tmpl w:val="0FBCEC9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CEF7B5B"/>
    <w:multiLevelType w:val="hybridMultilevel"/>
    <w:tmpl w:val="6E3200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CC01DE"/>
    <w:multiLevelType w:val="hybridMultilevel"/>
    <w:tmpl w:val="B14E79B0"/>
    <w:lvl w:ilvl="0" w:tplc="0409000F">
      <w:start w:val="1"/>
      <w:numFmt w:val="decimal"/>
      <w:lvlText w:val="%1."/>
      <w:lvlJc w:val="left"/>
      <w:pPr>
        <w:ind w:left="480" w:hanging="480"/>
      </w:pPr>
      <w:rPr>
        <w:rFonts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C2937B6"/>
    <w:multiLevelType w:val="hybridMultilevel"/>
    <w:tmpl w:val="DDD024E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FF73236"/>
    <w:multiLevelType w:val="hybridMultilevel"/>
    <w:tmpl w:val="B32C5158"/>
    <w:lvl w:ilvl="0" w:tplc="0409000F">
      <w:start w:val="1"/>
      <w:numFmt w:val="decimal"/>
      <w:lvlText w:val="%1."/>
      <w:lvlJc w:val="left"/>
      <w:pPr>
        <w:ind w:left="480" w:hanging="480"/>
      </w:pPr>
      <w:rPr>
        <w:rFonts w:hint="eastAsia"/>
        <w:lang w:val="en-US"/>
      </w:rPr>
    </w:lvl>
    <w:lvl w:ilvl="1" w:tplc="FFFFFFFF">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7" w15:restartNumberingAfterBreak="0">
    <w:nsid w:val="494071C8"/>
    <w:multiLevelType w:val="hybridMultilevel"/>
    <w:tmpl w:val="A7BE8E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9A17636"/>
    <w:multiLevelType w:val="hybridMultilevel"/>
    <w:tmpl w:val="9A760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31768B"/>
    <w:multiLevelType w:val="hybridMultilevel"/>
    <w:tmpl w:val="ECE0E7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351253"/>
    <w:multiLevelType w:val="hybridMultilevel"/>
    <w:tmpl w:val="72441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F103D8"/>
    <w:multiLevelType w:val="hybridMultilevel"/>
    <w:tmpl w:val="3A7C2024"/>
    <w:lvl w:ilvl="0" w:tplc="2B1885EC">
      <w:start w:val="1"/>
      <w:numFmt w:val="decimal"/>
      <w:lvlText w:val="(%1)"/>
      <w:lvlJc w:val="left"/>
      <w:pPr>
        <w:ind w:left="965" w:hanging="480"/>
      </w:pPr>
      <w:rPr>
        <w:rFonts w:hint="eastAsia"/>
      </w:r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12" w15:restartNumberingAfterBreak="0">
    <w:nsid w:val="5BAC29AE"/>
    <w:multiLevelType w:val="hybridMultilevel"/>
    <w:tmpl w:val="4A18E89A"/>
    <w:lvl w:ilvl="0" w:tplc="2B1885EC">
      <w:start w:val="1"/>
      <w:numFmt w:val="decimal"/>
      <w:lvlText w:val="(%1)"/>
      <w:lvlJc w:val="left"/>
      <w:pPr>
        <w:ind w:left="791" w:hanging="480"/>
      </w:pPr>
      <w:rPr>
        <w:rFonts w:hint="eastAsia"/>
      </w:rPr>
    </w:lvl>
    <w:lvl w:ilvl="1" w:tplc="04090019" w:tentative="1">
      <w:start w:val="1"/>
      <w:numFmt w:val="ideographTraditional"/>
      <w:lvlText w:val="%2、"/>
      <w:lvlJc w:val="left"/>
      <w:pPr>
        <w:ind w:left="1271" w:hanging="480"/>
      </w:pPr>
    </w:lvl>
    <w:lvl w:ilvl="2" w:tplc="0409001B" w:tentative="1">
      <w:start w:val="1"/>
      <w:numFmt w:val="lowerRoman"/>
      <w:lvlText w:val="%3."/>
      <w:lvlJc w:val="right"/>
      <w:pPr>
        <w:ind w:left="1751" w:hanging="480"/>
      </w:pPr>
    </w:lvl>
    <w:lvl w:ilvl="3" w:tplc="0409000F" w:tentative="1">
      <w:start w:val="1"/>
      <w:numFmt w:val="decimal"/>
      <w:lvlText w:val="%4."/>
      <w:lvlJc w:val="left"/>
      <w:pPr>
        <w:ind w:left="2231" w:hanging="480"/>
      </w:pPr>
    </w:lvl>
    <w:lvl w:ilvl="4" w:tplc="04090019" w:tentative="1">
      <w:start w:val="1"/>
      <w:numFmt w:val="ideographTraditional"/>
      <w:lvlText w:val="%5、"/>
      <w:lvlJc w:val="left"/>
      <w:pPr>
        <w:ind w:left="2711" w:hanging="480"/>
      </w:pPr>
    </w:lvl>
    <w:lvl w:ilvl="5" w:tplc="0409001B" w:tentative="1">
      <w:start w:val="1"/>
      <w:numFmt w:val="lowerRoman"/>
      <w:lvlText w:val="%6."/>
      <w:lvlJc w:val="right"/>
      <w:pPr>
        <w:ind w:left="3191" w:hanging="480"/>
      </w:pPr>
    </w:lvl>
    <w:lvl w:ilvl="6" w:tplc="0409000F" w:tentative="1">
      <w:start w:val="1"/>
      <w:numFmt w:val="decimal"/>
      <w:lvlText w:val="%7."/>
      <w:lvlJc w:val="left"/>
      <w:pPr>
        <w:ind w:left="3671" w:hanging="480"/>
      </w:pPr>
    </w:lvl>
    <w:lvl w:ilvl="7" w:tplc="04090019" w:tentative="1">
      <w:start w:val="1"/>
      <w:numFmt w:val="ideographTraditional"/>
      <w:lvlText w:val="%8、"/>
      <w:lvlJc w:val="left"/>
      <w:pPr>
        <w:ind w:left="4151" w:hanging="480"/>
      </w:pPr>
    </w:lvl>
    <w:lvl w:ilvl="8" w:tplc="0409001B" w:tentative="1">
      <w:start w:val="1"/>
      <w:numFmt w:val="lowerRoman"/>
      <w:lvlText w:val="%9."/>
      <w:lvlJc w:val="right"/>
      <w:pPr>
        <w:ind w:left="4631" w:hanging="480"/>
      </w:pPr>
    </w:lvl>
  </w:abstractNum>
  <w:abstractNum w:abstractNumId="13" w15:restartNumberingAfterBreak="0">
    <w:nsid w:val="70CD2C8B"/>
    <w:multiLevelType w:val="hybridMultilevel"/>
    <w:tmpl w:val="F9C8374A"/>
    <w:lvl w:ilvl="0" w:tplc="CEE2451A">
      <w:start w:val="1"/>
      <w:numFmt w:val="decimal"/>
      <w:lvlText w:val="%1."/>
      <w:lvlJc w:val="left"/>
      <w:pPr>
        <w:ind w:left="480" w:hanging="480"/>
      </w:pPr>
      <w:rPr>
        <w:b w:val="0"/>
      </w:rPr>
    </w:lvl>
    <w:lvl w:ilvl="1" w:tplc="7A962CDA">
      <w:start w:val="99"/>
      <w:numFmt w:val="bullet"/>
      <w:lvlText w:val="◎"/>
      <w:lvlJc w:val="left"/>
      <w:pPr>
        <w:ind w:left="840" w:hanging="360"/>
      </w:pPr>
      <w:rPr>
        <w:rFonts w:ascii="標楷體" w:eastAsia="標楷體" w:hAnsi="標楷體" w:hint="eastAsia"/>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44A7EE6"/>
    <w:multiLevelType w:val="hybridMultilevel"/>
    <w:tmpl w:val="8826810E"/>
    <w:lvl w:ilvl="0" w:tplc="0409000F">
      <w:start w:val="1"/>
      <w:numFmt w:val="decimal"/>
      <w:lvlText w:val="%1."/>
      <w:lvlJc w:val="left"/>
      <w:pPr>
        <w:ind w:left="480" w:hanging="480"/>
      </w:pPr>
      <w:rPr>
        <w:rFonts w:hint="eastAsia"/>
        <w:lang w:val="en-US"/>
      </w:rPr>
    </w:lvl>
    <w:lvl w:ilvl="1" w:tplc="FFFFFFFF">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5" w15:restartNumberingAfterBreak="0">
    <w:nsid w:val="7D806683"/>
    <w:multiLevelType w:val="hybridMultilevel"/>
    <w:tmpl w:val="ED5EC0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406680176">
    <w:abstractNumId w:val="1"/>
  </w:num>
  <w:num w:numId="2" w16cid:durableId="14967170">
    <w:abstractNumId w:val="13"/>
  </w:num>
  <w:num w:numId="3" w16cid:durableId="1481656337">
    <w:abstractNumId w:val="4"/>
  </w:num>
  <w:num w:numId="4" w16cid:durableId="1483541244">
    <w:abstractNumId w:val="8"/>
  </w:num>
  <w:num w:numId="5" w16cid:durableId="1992098606">
    <w:abstractNumId w:val="10"/>
  </w:num>
  <w:num w:numId="6" w16cid:durableId="619529000">
    <w:abstractNumId w:val="15"/>
  </w:num>
  <w:num w:numId="7" w16cid:durableId="392432883">
    <w:abstractNumId w:val="7"/>
  </w:num>
  <w:num w:numId="8" w16cid:durableId="975717577">
    <w:abstractNumId w:val="3"/>
  </w:num>
  <w:num w:numId="9" w16cid:durableId="1483346473">
    <w:abstractNumId w:val="9"/>
  </w:num>
  <w:num w:numId="10" w16cid:durableId="428045648">
    <w:abstractNumId w:val="14"/>
  </w:num>
  <w:num w:numId="11" w16cid:durableId="319579260">
    <w:abstractNumId w:val="2"/>
  </w:num>
  <w:num w:numId="12" w16cid:durableId="1678188457">
    <w:abstractNumId w:val="5"/>
  </w:num>
  <w:num w:numId="13" w16cid:durableId="1835753563">
    <w:abstractNumId w:val="11"/>
  </w:num>
  <w:num w:numId="14" w16cid:durableId="1271428338">
    <w:abstractNumId w:val="0"/>
  </w:num>
  <w:num w:numId="15" w16cid:durableId="2024167908">
    <w:abstractNumId w:val="6"/>
  </w:num>
  <w:num w:numId="16" w16cid:durableId="770124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53"/>
    <w:rsid w:val="000007FE"/>
    <w:rsid w:val="00004325"/>
    <w:rsid w:val="0000541F"/>
    <w:rsid w:val="00007391"/>
    <w:rsid w:val="000118C7"/>
    <w:rsid w:val="00012288"/>
    <w:rsid w:val="000242F9"/>
    <w:rsid w:val="0002468F"/>
    <w:rsid w:val="00030D56"/>
    <w:rsid w:val="00034D26"/>
    <w:rsid w:val="00037D8B"/>
    <w:rsid w:val="0004143B"/>
    <w:rsid w:val="00052D3B"/>
    <w:rsid w:val="000538A4"/>
    <w:rsid w:val="000565E4"/>
    <w:rsid w:val="00060161"/>
    <w:rsid w:val="0006021F"/>
    <w:rsid w:val="00060E9E"/>
    <w:rsid w:val="00064DBF"/>
    <w:rsid w:val="000757F2"/>
    <w:rsid w:val="000806B5"/>
    <w:rsid w:val="00096DD7"/>
    <w:rsid w:val="000A24FB"/>
    <w:rsid w:val="000A3BEC"/>
    <w:rsid w:val="000A71F9"/>
    <w:rsid w:val="000B045B"/>
    <w:rsid w:val="000B3078"/>
    <w:rsid w:val="000B332E"/>
    <w:rsid w:val="000B37DA"/>
    <w:rsid w:val="000B3A53"/>
    <w:rsid w:val="000B459F"/>
    <w:rsid w:val="000C0831"/>
    <w:rsid w:val="000C27BF"/>
    <w:rsid w:val="000C4D00"/>
    <w:rsid w:val="000C4D8F"/>
    <w:rsid w:val="000C65C7"/>
    <w:rsid w:val="000D0189"/>
    <w:rsid w:val="000D5443"/>
    <w:rsid w:val="000D66B3"/>
    <w:rsid w:val="000D7474"/>
    <w:rsid w:val="000E2BF1"/>
    <w:rsid w:val="00101300"/>
    <w:rsid w:val="00102DF4"/>
    <w:rsid w:val="00106572"/>
    <w:rsid w:val="00111223"/>
    <w:rsid w:val="00114B62"/>
    <w:rsid w:val="00116D39"/>
    <w:rsid w:val="00122D24"/>
    <w:rsid w:val="00125602"/>
    <w:rsid w:val="00134D69"/>
    <w:rsid w:val="00142102"/>
    <w:rsid w:val="00152CDF"/>
    <w:rsid w:val="00154075"/>
    <w:rsid w:val="001574FF"/>
    <w:rsid w:val="00162863"/>
    <w:rsid w:val="00163FD2"/>
    <w:rsid w:val="0017378C"/>
    <w:rsid w:val="00183BFC"/>
    <w:rsid w:val="00185DE5"/>
    <w:rsid w:val="001919D1"/>
    <w:rsid w:val="00192331"/>
    <w:rsid w:val="00194513"/>
    <w:rsid w:val="001972FE"/>
    <w:rsid w:val="001A2AFF"/>
    <w:rsid w:val="001A4096"/>
    <w:rsid w:val="001A5E79"/>
    <w:rsid w:val="001A79F2"/>
    <w:rsid w:val="001A7C1F"/>
    <w:rsid w:val="001B2DC4"/>
    <w:rsid w:val="001C01EE"/>
    <w:rsid w:val="001D2BF1"/>
    <w:rsid w:val="001E2019"/>
    <w:rsid w:val="001E38E0"/>
    <w:rsid w:val="001F2067"/>
    <w:rsid w:val="001F4283"/>
    <w:rsid w:val="001F43A0"/>
    <w:rsid w:val="001F5A78"/>
    <w:rsid w:val="00212161"/>
    <w:rsid w:val="00216CBB"/>
    <w:rsid w:val="00216E41"/>
    <w:rsid w:val="00221240"/>
    <w:rsid w:val="00224805"/>
    <w:rsid w:val="002354FD"/>
    <w:rsid w:val="00242B0D"/>
    <w:rsid w:val="00244496"/>
    <w:rsid w:val="002508F5"/>
    <w:rsid w:val="002534FA"/>
    <w:rsid w:val="00255870"/>
    <w:rsid w:val="00256774"/>
    <w:rsid w:val="00260310"/>
    <w:rsid w:val="00260A8C"/>
    <w:rsid w:val="0026262E"/>
    <w:rsid w:val="0026290D"/>
    <w:rsid w:val="00271219"/>
    <w:rsid w:val="00271C9B"/>
    <w:rsid w:val="002727E5"/>
    <w:rsid w:val="00274C9D"/>
    <w:rsid w:val="002772DE"/>
    <w:rsid w:val="00281D64"/>
    <w:rsid w:val="002903EF"/>
    <w:rsid w:val="00292385"/>
    <w:rsid w:val="002A38BE"/>
    <w:rsid w:val="002A67A2"/>
    <w:rsid w:val="002A7F91"/>
    <w:rsid w:val="002B26B0"/>
    <w:rsid w:val="002B3F72"/>
    <w:rsid w:val="002C1306"/>
    <w:rsid w:val="002C3EAD"/>
    <w:rsid w:val="002D1896"/>
    <w:rsid w:val="002D41CF"/>
    <w:rsid w:val="002E68AE"/>
    <w:rsid w:val="002F23FA"/>
    <w:rsid w:val="002F3591"/>
    <w:rsid w:val="002F70FB"/>
    <w:rsid w:val="00301BCC"/>
    <w:rsid w:val="00304994"/>
    <w:rsid w:val="00310CE3"/>
    <w:rsid w:val="0032077A"/>
    <w:rsid w:val="00320C24"/>
    <w:rsid w:val="00324B5A"/>
    <w:rsid w:val="003319D2"/>
    <w:rsid w:val="003346E9"/>
    <w:rsid w:val="00354A21"/>
    <w:rsid w:val="00360B01"/>
    <w:rsid w:val="00363608"/>
    <w:rsid w:val="00366FFA"/>
    <w:rsid w:val="00370928"/>
    <w:rsid w:val="00371EA5"/>
    <w:rsid w:val="00372421"/>
    <w:rsid w:val="00376F0A"/>
    <w:rsid w:val="0038449E"/>
    <w:rsid w:val="003904DE"/>
    <w:rsid w:val="00397399"/>
    <w:rsid w:val="003A085E"/>
    <w:rsid w:val="003A2001"/>
    <w:rsid w:val="003A20E4"/>
    <w:rsid w:val="003A2BE9"/>
    <w:rsid w:val="003A6C18"/>
    <w:rsid w:val="003B4460"/>
    <w:rsid w:val="003B46BA"/>
    <w:rsid w:val="003C6006"/>
    <w:rsid w:val="003D43A8"/>
    <w:rsid w:val="003D7743"/>
    <w:rsid w:val="003D7CA0"/>
    <w:rsid w:val="003E2856"/>
    <w:rsid w:val="003E3A3F"/>
    <w:rsid w:val="003E3C57"/>
    <w:rsid w:val="003E4532"/>
    <w:rsid w:val="003E5F48"/>
    <w:rsid w:val="003E7C81"/>
    <w:rsid w:val="003F16D2"/>
    <w:rsid w:val="003F2028"/>
    <w:rsid w:val="003F4104"/>
    <w:rsid w:val="003F52F3"/>
    <w:rsid w:val="00400610"/>
    <w:rsid w:val="00400D3B"/>
    <w:rsid w:val="00405535"/>
    <w:rsid w:val="004073A8"/>
    <w:rsid w:val="004106BA"/>
    <w:rsid w:val="00410D47"/>
    <w:rsid w:val="0042141C"/>
    <w:rsid w:val="00432606"/>
    <w:rsid w:val="00433B85"/>
    <w:rsid w:val="004363AF"/>
    <w:rsid w:val="00436512"/>
    <w:rsid w:val="004373B4"/>
    <w:rsid w:val="00440111"/>
    <w:rsid w:val="00440F51"/>
    <w:rsid w:val="00443D68"/>
    <w:rsid w:val="00452821"/>
    <w:rsid w:val="0045403E"/>
    <w:rsid w:val="00456BA1"/>
    <w:rsid w:val="0046036E"/>
    <w:rsid w:val="004651F3"/>
    <w:rsid w:val="0047151D"/>
    <w:rsid w:val="00474F50"/>
    <w:rsid w:val="004761F0"/>
    <w:rsid w:val="00484A74"/>
    <w:rsid w:val="00484DB1"/>
    <w:rsid w:val="00486DB8"/>
    <w:rsid w:val="00491CFD"/>
    <w:rsid w:val="00493E73"/>
    <w:rsid w:val="00496F61"/>
    <w:rsid w:val="004A0F0B"/>
    <w:rsid w:val="004A1DE9"/>
    <w:rsid w:val="004A42CB"/>
    <w:rsid w:val="004A58A1"/>
    <w:rsid w:val="004A5A45"/>
    <w:rsid w:val="004A6F93"/>
    <w:rsid w:val="004B1376"/>
    <w:rsid w:val="004B4CD2"/>
    <w:rsid w:val="004B521F"/>
    <w:rsid w:val="004C59BA"/>
    <w:rsid w:val="004D31EC"/>
    <w:rsid w:val="004E1376"/>
    <w:rsid w:val="004E3A8A"/>
    <w:rsid w:val="004E44CD"/>
    <w:rsid w:val="004E4565"/>
    <w:rsid w:val="004F0389"/>
    <w:rsid w:val="004F03CB"/>
    <w:rsid w:val="00500E98"/>
    <w:rsid w:val="00510251"/>
    <w:rsid w:val="005129E5"/>
    <w:rsid w:val="005230B9"/>
    <w:rsid w:val="00523805"/>
    <w:rsid w:val="00524B55"/>
    <w:rsid w:val="00527813"/>
    <w:rsid w:val="00530A6E"/>
    <w:rsid w:val="00532D51"/>
    <w:rsid w:val="00541901"/>
    <w:rsid w:val="0055156F"/>
    <w:rsid w:val="005521BE"/>
    <w:rsid w:val="005549EF"/>
    <w:rsid w:val="00563813"/>
    <w:rsid w:val="00565DBC"/>
    <w:rsid w:val="005707CB"/>
    <w:rsid w:val="00574F03"/>
    <w:rsid w:val="00581CAD"/>
    <w:rsid w:val="00582D6F"/>
    <w:rsid w:val="00583771"/>
    <w:rsid w:val="005850ED"/>
    <w:rsid w:val="005866E3"/>
    <w:rsid w:val="00592B86"/>
    <w:rsid w:val="00592DAC"/>
    <w:rsid w:val="00593EE7"/>
    <w:rsid w:val="005A388F"/>
    <w:rsid w:val="005A4472"/>
    <w:rsid w:val="005A632C"/>
    <w:rsid w:val="005B0AA0"/>
    <w:rsid w:val="005B7341"/>
    <w:rsid w:val="005C4CF8"/>
    <w:rsid w:val="005C6543"/>
    <w:rsid w:val="005D045A"/>
    <w:rsid w:val="005E3328"/>
    <w:rsid w:val="005E40E5"/>
    <w:rsid w:val="005F1D5B"/>
    <w:rsid w:val="005F2C0F"/>
    <w:rsid w:val="005F63B3"/>
    <w:rsid w:val="00601F53"/>
    <w:rsid w:val="00602791"/>
    <w:rsid w:val="00603B4F"/>
    <w:rsid w:val="00614558"/>
    <w:rsid w:val="00615597"/>
    <w:rsid w:val="00615F1B"/>
    <w:rsid w:val="00621028"/>
    <w:rsid w:val="006215CA"/>
    <w:rsid w:val="006227EE"/>
    <w:rsid w:val="006269A4"/>
    <w:rsid w:val="00630A5C"/>
    <w:rsid w:val="0063209D"/>
    <w:rsid w:val="00636522"/>
    <w:rsid w:val="00636679"/>
    <w:rsid w:val="00646B6F"/>
    <w:rsid w:val="00647122"/>
    <w:rsid w:val="006519B9"/>
    <w:rsid w:val="00656893"/>
    <w:rsid w:val="00660265"/>
    <w:rsid w:val="006618DB"/>
    <w:rsid w:val="00664C65"/>
    <w:rsid w:val="006710CE"/>
    <w:rsid w:val="00675A55"/>
    <w:rsid w:val="00675E8F"/>
    <w:rsid w:val="00676EE1"/>
    <w:rsid w:val="006879A6"/>
    <w:rsid w:val="00693785"/>
    <w:rsid w:val="00697C58"/>
    <w:rsid w:val="006A4FE1"/>
    <w:rsid w:val="006A7847"/>
    <w:rsid w:val="006B2C18"/>
    <w:rsid w:val="006B64DB"/>
    <w:rsid w:val="006B7466"/>
    <w:rsid w:val="006C09C9"/>
    <w:rsid w:val="006C55B8"/>
    <w:rsid w:val="006D2CF4"/>
    <w:rsid w:val="006D352E"/>
    <w:rsid w:val="006E53F3"/>
    <w:rsid w:val="006F18F8"/>
    <w:rsid w:val="006F2EC2"/>
    <w:rsid w:val="006F3DAB"/>
    <w:rsid w:val="006F57BF"/>
    <w:rsid w:val="006F7E39"/>
    <w:rsid w:val="00713590"/>
    <w:rsid w:val="00732A61"/>
    <w:rsid w:val="00733539"/>
    <w:rsid w:val="00753575"/>
    <w:rsid w:val="0075759E"/>
    <w:rsid w:val="00765378"/>
    <w:rsid w:val="007656AC"/>
    <w:rsid w:val="00765F3F"/>
    <w:rsid w:val="00767416"/>
    <w:rsid w:val="007904B8"/>
    <w:rsid w:val="00790553"/>
    <w:rsid w:val="007916E9"/>
    <w:rsid w:val="007A21A0"/>
    <w:rsid w:val="007A460D"/>
    <w:rsid w:val="007A6DB4"/>
    <w:rsid w:val="007A7056"/>
    <w:rsid w:val="007B6582"/>
    <w:rsid w:val="007D24E5"/>
    <w:rsid w:val="007D3D4E"/>
    <w:rsid w:val="007D5BB9"/>
    <w:rsid w:val="007E45E5"/>
    <w:rsid w:val="007F4460"/>
    <w:rsid w:val="007F4C3A"/>
    <w:rsid w:val="007F553E"/>
    <w:rsid w:val="008130C0"/>
    <w:rsid w:val="00814850"/>
    <w:rsid w:val="00816885"/>
    <w:rsid w:val="00822957"/>
    <w:rsid w:val="00822C4D"/>
    <w:rsid w:val="00822F16"/>
    <w:rsid w:val="00825246"/>
    <w:rsid w:val="00832A68"/>
    <w:rsid w:val="00833BB5"/>
    <w:rsid w:val="00844919"/>
    <w:rsid w:val="00860575"/>
    <w:rsid w:val="00861E4E"/>
    <w:rsid w:val="0086219E"/>
    <w:rsid w:val="0086387A"/>
    <w:rsid w:val="00865B0A"/>
    <w:rsid w:val="00874080"/>
    <w:rsid w:val="00876394"/>
    <w:rsid w:val="0088339C"/>
    <w:rsid w:val="008871D3"/>
    <w:rsid w:val="008947EC"/>
    <w:rsid w:val="008957BA"/>
    <w:rsid w:val="008A08F1"/>
    <w:rsid w:val="008A4518"/>
    <w:rsid w:val="008A79C9"/>
    <w:rsid w:val="008A7DB0"/>
    <w:rsid w:val="008B2570"/>
    <w:rsid w:val="008C0FF5"/>
    <w:rsid w:val="008C11AF"/>
    <w:rsid w:val="008D08BD"/>
    <w:rsid w:val="008D2006"/>
    <w:rsid w:val="008D4D03"/>
    <w:rsid w:val="008D4E8A"/>
    <w:rsid w:val="008E1234"/>
    <w:rsid w:val="008E1833"/>
    <w:rsid w:val="008E248F"/>
    <w:rsid w:val="008E2E5F"/>
    <w:rsid w:val="008E3249"/>
    <w:rsid w:val="008F4E2D"/>
    <w:rsid w:val="008F7FF7"/>
    <w:rsid w:val="00900E21"/>
    <w:rsid w:val="00905F2F"/>
    <w:rsid w:val="00906C9F"/>
    <w:rsid w:val="00913A45"/>
    <w:rsid w:val="0091414D"/>
    <w:rsid w:val="00921540"/>
    <w:rsid w:val="00940463"/>
    <w:rsid w:val="0094065A"/>
    <w:rsid w:val="00947D8F"/>
    <w:rsid w:val="00953F51"/>
    <w:rsid w:val="009545DD"/>
    <w:rsid w:val="00955063"/>
    <w:rsid w:val="00965E75"/>
    <w:rsid w:val="00973BA4"/>
    <w:rsid w:val="00974097"/>
    <w:rsid w:val="00974986"/>
    <w:rsid w:val="00987989"/>
    <w:rsid w:val="009937BF"/>
    <w:rsid w:val="009A19D2"/>
    <w:rsid w:val="009A6EEC"/>
    <w:rsid w:val="009A7CA2"/>
    <w:rsid w:val="009C0406"/>
    <w:rsid w:val="009C214F"/>
    <w:rsid w:val="009C5EAF"/>
    <w:rsid w:val="009D10EB"/>
    <w:rsid w:val="009D2AA4"/>
    <w:rsid w:val="009D6000"/>
    <w:rsid w:val="009E304A"/>
    <w:rsid w:val="009F0188"/>
    <w:rsid w:val="009F2D94"/>
    <w:rsid w:val="009F3BCB"/>
    <w:rsid w:val="009F4397"/>
    <w:rsid w:val="009F4B9D"/>
    <w:rsid w:val="009F51D0"/>
    <w:rsid w:val="009F5320"/>
    <w:rsid w:val="00A012CE"/>
    <w:rsid w:val="00A0694E"/>
    <w:rsid w:val="00A12E66"/>
    <w:rsid w:val="00A21833"/>
    <w:rsid w:val="00A2600C"/>
    <w:rsid w:val="00A32B7A"/>
    <w:rsid w:val="00A35197"/>
    <w:rsid w:val="00A37F10"/>
    <w:rsid w:val="00A42091"/>
    <w:rsid w:val="00A44A80"/>
    <w:rsid w:val="00A46361"/>
    <w:rsid w:val="00A503DA"/>
    <w:rsid w:val="00A527AC"/>
    <w:rsid w:val="00A54BB5"/>
    <w:rsid w:val="00A60065"/>
    <w:rsid w:val="00A60A10"/>
    <w:rsid w:val="00A64FCB"/>
    <w:rsid w:val="00A654E0"/>
    <w:rsid w:val="00A65C03"/>
    <w:rsid w:val="00A66E8F"/>
    <w:rsid w:val="00A675E9"/>
    <w:rsid w:val="00A71585"/>
    <w:rsid w:val="00A75487"/>
    <w:rsid w:val="00A80FF3"/>
    <w:rsid w:val="00A81D8D"/>
    <w:rsid w:val="00A8277D"/>
    <w:rsid w:val="00A85C6F"/>
    <w:rsid w:val="00A86F40"/>
    <w:rsid w:val="00AA1A8F"/>
    <w:rsid w:val="00AA4F1D"/>
    <w:rsid w:val="00AA5E00"/>
    <w:rsid w:val="00AA7502"/>
    <w:rsid w:val="00AB5AA0"/>
    <w:rsid w:val="00AC120D"/>
    <w:rsid w:val="00AD21CA"/>
    <w:rsid w:val="00AD4368"/>
    <w:rsid w:val="00AE6A92"/>
    <w:rsid w:val="00AF064A"/>
    <w:rsid w:val="00AF3D0C"/>
    <w:rsid w:val="00AF4C91"/>
    <w:rsid w:val="00AF7D4E"/>
    <w:rsid w:val="00B0187B"/>
    <w:rsid w:val="00B04C28"/>
    <w:rsid w:val="00B07697"/>
    <w:rsid w:val="00B11590"/>
    <w:rsid w:val="00B11A22"/>
    <w:rsid w:val="00B14BFC"/>
    <w:rsid w:val="00B22221"/>
    <w:rsid w:val="00B24CB6"/>
    <w:rsid w:val="00B33776"/>
    <w:rsid w:val="00B33C38"/>
    <w:rsid w:val="00B369F4"/>
    <w:rsid w:val="00B421C1"/>
    <w:rsid w:val="00B444D4"/>
    <w:rsid w:val="00B5166C"/>
    <w:rsid w:val="00B53EBD"/>
    <w:rsid w:val="00B618F9"/>
    <w:rsid w:val="00B61D2A"/>
    <w:rsid w:val="00B64EB6"/>
    <w:rsid w:val="00B652A8"/>
    <w:rsid w:val="00B65788"/>
    <w:rsid w:val="00B66FB5"/>
    <w:rsid w:val="00B725D9"/>
    <w:rsid w:val="00B76445"/>
    <w:rsid w:val="00B86127"/>
    <w:rsid w:val="00B966B0"/>
    <w:rsid w:val="00B96E03"/>
    <w:rsid w:val="00BA0A8A"/>
    <w:rsid w:val="00BA0D4F"/>
    <w:rsid w:val="00BA13E0"/>
    <w:rsid w:val="00BA16DB"/>
    <w:rsid w:val="00BA5492"/>
    <w:rsid w:val="00BA6D6D"/>
    <w:rsid w:val="00BB1537"/>
    <w:rsid w:val="00BB22B7"/>
    <w:rsid w:val="00BB2F18"/>
    <w:rsid w:val="00BC1F8B"/>
    <w:rsid w:val="00BD109B"/>
    <w:rsid w:val="00BD1AA3"/>
    <w:rsid w:val="00BD1B2F"/>
    <w:rsid w:val="00BD4395"/>
    <w:rsid w:val="00BD6760"/>
    <w:rsid w:val="00BE3A4E"/>
    <w:rsid w:val="00BE5BCC"/>
    <w:rsid w:val="00C01F63"/>
    <w:rsid w:val="00C10D2D"/>
    <w:rsid w:val="00C14609"/>
    <w:rsid w:val="00C369F5"/>
    <w:rsid w:val="00C46F8C"/>
    <w:rsid w:val="00C51E4B"/>
    <w:rsid w:val="00C52225"/>
    <w:rsid w:val="00C5715C"/>
    <w:rsid w:val="00C576C5"/>
    <w:rsid w:val="00C6055D"/>
    <w:rsid w:val="00C61FD2"/>
    <w:rsid w:val="00C663BF"/>
    <w:rsid w:val="00C829FF"/>
    <w:rsid w:val="00C82BAA"/>
    <w:rsid w:val="00C864E3"/>
    <w:rsid w:val="00C9491E"/>
    <w:rsid w:val="00C95201"/>
    <w:rsid w:val="00CA524C"/>
    <w:rsid w:val="00CC3707"/>
    <w:rsid w:val="00CC575F"/>
    <w:rsid w:val="00CE25B3"/>
    <w:rsid w:val="00CE4300"/>
    <w:rsid w:val="00CE4C5B"/>
    <w:rsid w:val="00CE5316"/>
    <w:rsid w:val="00CF373D"/>
    <w:rsid w:val="00D00DA0"/>
    <w:rsid w:val="00D00FCB"/>
    <w:rsid w:val="00D126F7"/>
    <w:rsid w:val="00D13084"/>
    <w:rsid w:val="00D2586C"/>
    <w:rsid w:val="00D25959"/>
    <w:rsid w:val="00D265B1"/>
    <w:rsid w:val="00D27E55"/>
    <w:rsid w:val="00D33628"/>
    <w:rsid w:val="00D34E60"/>
    <w:rsid w:val="00D37411"/>
    <w:rsid w:val="00D42032"/>
    <w:rsid w:val="00D466B1"/>
    <w:rsid w:val="00D5291D"/>
    <w:rsid w:val="00D52933"/>
    <w:rsid w:val="00D543DC"/>
    <w:rsid w:val="00D574BB"/>
    <w:rsid w:val="00D87B54"/>
    <w:rsid w:val="00D94E1B"/>
    <w:rsid w:val="00D95337"/>
    <w:rsid w:val="00D95BB8"/>
    <w:rsid w:val="00D9768F"/>
    <w:rsid w:val="00DA118C"/>
    <w:rsid w:val="00DA1B3B"/>
    <w:rsid w:val="00DB103D"/>
    <w:rsid w:val="00DB410C"/>
    <w:rsid w:val="00DB532F"/>
    <w:rsid w:val="00DB5E27"/>
    <w:rsid w:val="00DD0EEE"/>
    <w:rsid w:val="00DD4655"/>
    <w:rsid w:val="00DE31F8"/>
    <w:rsid w:val="00DF2B34"/>
    <w:rsid w:val="00DF2D57"/>
    <w:rsid w:val="00DF34C6"/>
    <w:rsid w:val="00DF414B"/>
    <w:rsid w:val="00E023E2"/>
    <w:rsid w:val="00E02AFC"/>
    <w:rsid w:val="00E04DD6"/>
    <w:rsid w:val="00E1528F"/>
    <w:rsid w:val="00E1624B"/>
    <w:rsid w:val="00E1724C"/>
    <w:rsid w:val="00E1762F"/>
    <w:rsid w:val="00E25739"/>
    <w:rsid w:val="00E265EC"/>
    <w:rsid w:val="00E27980"/>
    <w:rsid w:val="00E45991"/>
    <w:rsid w:val="00E47C4E"/>
    <w:rsid w:val="00E50FD2"/>
    <w:rsid w:val="00E521E1"/>
    <w:rsid w:val="00E623A2"/>
    <w:rsid w:val="00E638EA"/>
    <w:rsid w:val="00E732F3"/>
    <w:rsid w:val="00E81E3E"/>
    <w:rsid w:val="00E82D09"/>
    <w:rsid w:val="00E97AE0"/>
    <w:rsid w:val="00EA2A67"/>
    <w:rsid w:val="00EA4402"/>
    <w:rsid w:val="00EA5170"/>
    <w:rsid w:val="00EB0910"/>
    <w:rsid w:val="00EB11A2"/>
    <w:rsid w:val="00EB47C7"/>
    <w:rsid w:val="00ED0F28"/>
    <w:rsid w:val="00ED1BC4"/>
    <w:rsid w:val="00ED2949"/>
    <w:rsid w:val="00EE25CB"/>
    <w:rsid w:val="00EF229E"/>
    <w:rsid w:val="00EF3603"/>
    <w:rsid w:val="00EF4350"/>
    <w:rsid w:val="00F067BF"/>
    <w:rsid w:val="00F06DB4"/>
    <w:rsid w:val="00F108B0"/>
    <w:rsid w:val="00F12B3C"/>
    <w:rsid w:val="00F14649"/>
    <w:rsid w:val="00F1637C"/>
    <w:rsid w:val="00F2000C"/>
    <w:rsid w:val="00F259AF"/>
    <w:rsid w:val="00F36693"/>
    <w:rsid w:val="00F441C9"/>
    <w:rsid w:val="00F4421C"/>
    <w:rsid w:val="00F47919"/>
    <w:rsid w:val="00F55525"/>
    <w:rsid w:val="00F62FBB"/>
    <w:rsid w:val="00F6508D"/>
    <w:rsid w:val="00F66FE5"/>
    <w:rsid w:val="00F709A4"/>
    <w:rsid w:val="00F72971"/>
    <w:rsid w:val="00F829CE"/>
    <w:rsid w:val="00F836E9"/>
    <w:rsid w:val="00F95531"/>
    <w:rsid w:val="00FA157D"/>
    <w:rsid w:val="00FA22F5"/>
    <w:rsid w:val="00FA2FFD"/>
    <w:rsid w:val="00FB0CFB"/>
    <w:rsid w:val="00FC3A05"/>
    <w:rsid w:val="00FC4B4D"/>
    <w:rsid w:val="00FC6215"/>
    <w:rsid w:val="00FD483D"/>
    <w:rsid w:val="00FE1BA9"/>
    <w:rsid w:val="00FE5FDB"/>
    <w:rsid w:val="00FF1305"/>
    <w:rsid w:val="00FF22F8"/>
    <w:rsid w:val="00FF2705"/>
    <w:rsid w:val="00FF34E4"/>
    <w:rsid w:val="00FF5A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2211D"/>
  <w15:chartTrackingRefBased/>
  <w15:docId w15:val="{D03BE2F3-E226-449E-98B1-DDDC376C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553"/>
    <w:pPr>
      <w:widowControl w:val="0"/>
    </w:pPr>
    <w:rPr>
      <w:rFonts w:ascii="Calibri" w:eastAsia="新細明體" w:hAnsi="Calibri" w:cs="Times New Roman"/>
    </w:rPr>
  </w:style>
  <w:style w:type="paragraph" w:styleId="1">
    <w:name w:val="heading 1"/>
    <w:basedOn w:val="a"/>
    <w:link w:val="10"/>
    <w:uiPriority w:val="99"/>
    <w:qFormat/>
    <w:rsid w:val="00790553"/>
    <w:pPr>
      <w:widowControl/>
      <w:spacing w:before="100" w:beforeAutospacing="1" w:after="100" w:afterAutospacing="1"/>
      <w:outlineLvl w:val="0"/>
    </w:pPr>
    <w:rPr>
      <w:rFonts w:ascii="新細明體" w:hAnsi="新細明體" w:cs="新細明體"/>
      <w:b/>
      <w:bCs/>
      <w:kern w:val="36"/>
      <w:sz w:val="48"/>
      <w:szCs w:val="48"/>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790553"/>
    <w:rPr>
      <w:rFonts w:ascii="新細明體" w:eastAsia="新細明體" w:hAnsi="新細明體" w:cs="新細明體"/>
      <w:b/>
      <w:bCs/>
      <w:kern w:val="36"/>
      <w:sz w:val="48"/>
      <w:szCs w:val="48"/>
      <w:lang w:bidi="hi-IN"/>
    </w:rPr>
  </w:style>
  <w:style w:type="paragraph" w:styleId="Web">
    <w:name w:val="Normal (Web)"/>
    <w:basedOn w:val="a"/>
    <w:uiPriority w:val="99"/>
    <w:rsid w:val="00790553"/>
    <w:pPr>
      <w:widowControl/>
      <w:spacing w:before="100" w:beforeAutospacing="1" w:after="100" w:afterAutospacing="1"/>
    </w:pPr>
    <w:rPr>
      <w:rFonts w:ascii="Arial Unicode MS" w:eastAsia="Arial Unicode MS" w:hAnsi="Arial Unicode MS" w:cs="Arial Unicode MS"/>
      <w:kern w:val="0"/>
      <w:szCs w:val="24"/>
    </w:rPr>
  </w:style>
  <w:style w:type="paragraph" w:styleId="a3">
    <w:name w:val="List Paragraph"/>
    <w:basedOn w:val="a"/>
    <w:uiPriority w:val="34"/>
    <w:qFormat/>
    <w:rsid w:val="00790553"/>
    <w:pPr>
      <w:ind w:leftChars="200" w:left="480"/>
    </w:pPr>
  </w:style>
  <w:style w:type="character" w:styleId="a4">
    <w:name w:val="Hyperlink"/>
    <w:basedOn w:val="a0"/>
    <w:uiPriority w:val="99"/>
    <w:rsid w:val="00790553"/>
    <w:rPr>
      <w:rFonts w:cs="Times New Roman"/>
      <w:color w:val="0000FF"/>
      <w:u w:val="single"/>
    </w:rPr>
  </w:style>
  <w:style w:type="paragraph" w:styleId="a5">
    <w:name w:val="header"/>
    <w:basedOn w:val="a"/>
    <w:link w:val="a6"/>
    <w:uiPriority w:val="99"/>
    <w:unhideWhenUsed/>
    <w:rsid w:val="004761F0"/>
    <w:pPr>
      <w:tabs>
        <w:tab w:val="center" w:pos="4153"/>
        <w:tab w:val="right" w:pos="8306"/>
      </w:tabs>
      <w:snapToGrid w:val="0"/>
    </w:pPr>
    <w:rPr>
      <w:sz w:val="20"/>
      <w:szCs w:val="20"/>
    </w:rPr>
  </w:style>
  <w:style w:type="character" w:customStyle="1" w:styleId="a6">
    <w:name w:val="頁首 字元"/>
    <w:basedOn w:val="a0"/>
    <w:link w:val="a5"/>
    <w:uiPriority w:val="99"/>
    <w:rsid w:val="004761F0"/>
    <w:rPr>
      <w:rFonts w:ascii="Calibri" w:eastAsia="新細明體" w:hAnsi="Calibri" w:cs="Times New Roman"/>
      <w:sz w:val="20"/>
      <w:szCs w:val="20"/>
    </w:rPr>
  </w:style>
  <w:style w:type="paragraph" w:styleId="a7">
    <w:name w:val="footer"/>
    <w:basedOn w:val="a"/>
    <w:link w:val="a8"/>
    <w:uiPriority w:val="99"/>
    <w:unhideWhenUsed/>
    <w:rsid w:val="004761F0"/>
    <w:pPr>
      <w:tabs>
        <w:tab w:val="center" w:pos="4153"/>
        <w:tab w:val="right" w:pos="8306"/>
      </w:tabs>
      <w:snapToGrid w:val="0"/>
    </w:pPr>
    <w:rPr>
      <w:sz w:val="20"/>
      <w:szCs w:val="20"/>
    </w:rPr>
  </w:style>
  <w:style w:type="character" w:customStyle="1" w:styleId="a8">
    <w:name w:val="頁尾 字元"/>
    <w:basedOn w:val="a0"/>
    <w:link w:val="a7"/>
    <w:uiPriority w:val="99"/>
    <w:rsid w:val="004761F0"/>
    <w:rPr>
      <w:rFonts w:ascii="Calibri" w:eastAsia="新細明體" w:hAnsi="Calibri" w:cs="Times New Roman"/>
      <w:sz w:val="20"/>
      <w:szCs w:val="20"/>
    </w:rPr>
  </w:style>
  <w:style w:type="character" w:styleId="a9">
    <w:name w:val="Unresolved Mention"/>
    <w:basedOn w:val="a0"/>
    <w:uiPriority w:val="99"/>
    <w:semiHidden/>
    <w:unhideWhenUsed/>
    <w:rsid w:val="0047151D"/>
    <w:rPr>
      <w:color w:val="605E5C"/>
      <w:shd w:val="clear" w:color="auto" w:fill="E1DFDD"/>
    </w:rPr>
  </w:style>
  <w:style w:type="character" w:styleId="aa">
    <w:name w:val="FollowedHyperlink"/>
    <w:basedOn w:val="a0"/>
    <w:uiPriority w:val="99"/>
    <w:semiHidden/>
    <w:unhideWhenUsed/>
    <w:rsid w:val="00F44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3836">
      <w:bodyDiv w:val="1"/>
      <w:marLeft w:val="0"/>
      <w:marRight w:val="0"/>
      <w:marTop w:val="0"/>
      <w:marBottom w:val="0"/>
      <w:divBdr>
        <w:top w:val="none" w:sz="0" w:space="0" w:color="auto"/>
        <w:left w:val="none" w:sz="0" w:space="0" w:color="auto"/>
        <w:bottom w:val="none" w:sz="0" w:space="0" w:color="auto"/>
        <w:right w:val="none" w:sz="0" w:space="0" w:color="auto"/>
      </w:divBdr>
    </w:div>
    <w:div w:id="94616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cp.fda.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E88AC-98DE-4682-9879-58135FF0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3</Pages>
  <Words>444</Words>
  <Characters>2532</Characters>
  <Application>Microsoft Office Word</Application>
  <DocSecurity>0</DocSecurity>
  <Lines>21</Lines>
  <Paragraphs>5</Paragraphs>
  <ScaleCrop>false</ScaleCrop>
  <Company>TDRF</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swy</dc:creator>
  <cp:keywords/>
  <dc:description/>
  <cp:lastModifiedBy>高珮芸</cp:lastModifiedBy>
  <cp:revision>153</cp:revision>
  <cp:lastPrinted>2025-10-20T09:13:00Z</cp:lastPrinted>
  <dcterms:created xsi:type="dcterms:W3CDTF">2025-10-29T03:26:00Z</dcterms:created>
  <dcterms:modified xsi:type="dcterms:W3CDTF">2025-11-04T03:35:00Z</dcterms:modified>
</cp:coreProperties>
</file>